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890" w:rsidRDefault="00B83890" w:rsidP="00B83890">
      <w:pPr>
        <w:pStyle w:val="Heading1"/>
        <w:jc w:val="center"/>
        <w:rPr>
          <w:sz w:val="72"/>
          <w:szCs w:val="72"/>
        </w:rPr>
      </w:pPr>
      <w:r w:rsidRPr="00DF6256">
        <w:rPr>
          <w:sz w:val="72"/>
          <w:szCs w:val="72"/>
        </w:rPr>
        <w:t>MUSEUMS BOARD OF VICTORIA</w:t>
      </w:r>
    </w:p>
    <w:p w:rsidR="00B83890" w:rsidRDefault="00B83890" w:rsidP="00B83890">
      <w:pPr>
        <w:jc w:val="center"/>
        <w:rPr>
          <w:sz w:val="72"/>
          <w:szCs w:val="72"/>
        </w:rPr>
      </w:pPr>
    </w:p>
    <w:p w:rsidR="00B83890" w:rsidRDefault="00B83890" w:rsidP="00B83890">
      <w:pPr>
        <w:pStyle w:val="Heading1"/>
        <w:jc w:val="center"/>
        <w:rPr>
          <w:sz w:val="72"/>
          <w:szCs w:val="72"/>
        </w:rPr>
      </w:pPr>
      <w:r w:rsidRPr="00DF6256">
        <w:rPr>
          <w:sz w:val="72"/>
          <w:szCs w:val="72"/>
        </w:rPr>
        <w:t>ANNUAL REPORT</w:t>
      </w:r>
    </w:p>
    <w:p w:rsidR="00B83890" w:rsidRDefault="00B83890" w:rsidP="00B83890">
      <w:pPr>
        <w:jc w:val="center"/>
        <w:rPr>
          <w:sz w:val="72"/>
          <w:szCs w:val="72"/>
        </w:rPr>
      </w:pPr>
    </w:p>
    <w:p w:rsidR="00B83890" w:rsidRDefault="00B83890" w:rsidP="00B83890">
      <w:pPr>
        <w:pStyle w:val="Heading1"/>
        <w:jc w:val="center"/>
        <w:rPr>
          <w:sz w:val="72"/>
          <w:szCs w:val="72"/>
        </w:rPr>
      </w:pPr>
      <w:r w:rsidRPr="00DF6256">
        <w:rPr>
          <w:sz w:val="72"/>
          <w:szCs w:val="72"/>
        </w:rPr>
        <w:t>201</w:t>
      </w:r>
      <w:r>
        <w:rPr>
          <w:sz w:val="72"/>
          <w:szCs w:val="72"/>
        </w:rPr>
        <w:t>2</w:t>
      </w:r>
      <w:r w:rsidRPr="00DF6256">
        <w:rPr>
          <w:sz w:val="72"/>
          <w:szCs w:val="72"/>
        </w:rPr>
        <w:t>–1</w:t>
      </w:r>
      <w:r>
        <w:rPr>
          <w:sz w:val="72"/>
          <w:szCs w:val="72"/>
        </w:rPr>
        <w:t>3</w:t>
      </w:r>
    </w:p>
    <w:p w:rsidR="000A7F62" w:rsidRDefault="000A7F62">
      <w:pPr>
        <w:keepNext w:val="0"/>
        <w:spacing w:after="200" w:line="276" w:lineRule="auto"/>
        <w:outlineLvl w:val="9"/>
        <w:rPr>
          <w:b/>
          <w:sz w:val="40"/>
        </w:rPr>
      </w:pPr>
      <w:r>
        <w:br w:type="page"/>
      </w:r>
    </w:p>
    <w:p w:rsidR="00B83890" w:rsidRPr="001442F3" w:rsidRDefault="00B83890" w:rsidP="001442F3">
      <w:pPr>
        <w:pStyle w:val="Heading1"/>
      </w:pPr>
      <w:r w:rsidRPr="001442F3">
        <w:lastRenderedPageBreak/>
        <w:t>Accountable Officer’s Declaration</w:t>
      </w:r>
    </w:p>
    <w:p w:rsidR="00B83890" w:rsidRPr="00FE0538" w:rsidRDefault="00B83890" w:rsidP="00751B3E"/>
    <w:p w:rsidR="00B83890" w:rsidRDefault="00B83890" w:rsidP="001442F3">
      <w:r w:rsidRPr="00FE0538">
        <w:t xml:space="preserve">In accordance with the </w:t>
      </w:r>
      <w:r w:rsidRPr="00FE0538">
        <w:rPr>
          <w:i/>
        </w:rPr>
        <w:t>Financial Management Act 1994</w:t>
      </w:r>
      <w:r w:rsidRPr="00FE0538">
        <w:t xml:space="preserve">, I am pleased to present the </w:t>
      </w:r>
      <w:r>
        <w:t>R</w:t>
      </w:r>
      <w:r w:rsidRPr="00FE0538">
        <w:t xml:space="preserve">eport of </w:t>
      </w:r>
      <w:r>
        <w:t>O</w:t>
      </w:r>
      <w:r w:rsidRPr="00FE0538">
        <w:t>perations for the Museums Board of Victoria for the year endin</w:t>
      </w:r>
      <w:r>
        <w:t>g 30 June 2013</w:t>
      </w:r>
      <w:r w:rsidRPr="00FE0538">
        <w:t>.</w:t>
      </w:r>
    </w:p>
    <w:p w:rsidR="00B83890" w:rsidRDefault="00B83890" w:rsidP="001442F3"/>
    <w:p w:rsidR="00B83890" w:rsidRDefault="00B83890" w:rsidP="001442F3">
      <w:r>
        <w:t>[signature]</w:t>
      </w:r>
    </w:p>
    <w:p w:rsidR="00B83890" w:rsidRDefault="00B83890" w:rsidP="001442F3"/>
    <w:p w:rsidR="00B83890" w:rsidRDefault="00B83890" w:rsidP="001442F3">
      <w:r>
        <w:t>Dr J. Patrick Greene</w:t>
      </w:r>
    </w:p>
    <w:p w:rsidR="00B83890" w:rsidRDefault="00B83890" w:rsidP="001442F3">
      <w:r>
        <w:t>Chief Executive Officer</w:t>
      </w:r>
    </w:p>
    <w:p w:rsidR="00B83890" w:rsidRDefault="00B83890" w:rsidP="001442F3">
      <w:r>
        <w:t>Museum Victoria</w:t>
      </w:r>
    </w:p>
    <w:p w:rsidR="00B83890" w:rsidRDefault="00B83890" w:rsidP="001442F3"/>
    <w:p w:rsidR="00B83890" w:rsidRPr="00C245B5" w:rsidRDefault="00B83890" w:rsidP="00C245B5">
      <w:r w:rsidRPr="00C245B5">
        <w:t>30 June 2013</w:t>
      </w:r>
    </w:p>
    <w:p w:rsidR="00B83890" w:rsidRDefault="00B83890" w:rsidP="001442F3"/>
    <w:p w:rsidR="00B83890" w:rsidRDefault="00B83890" w:rsidP="001442F3">
      <w:r w:rsidRPr="00B4627F">
        <w:t>This annual report has been produced in accordance with FRD30</w:t>
      </w:r>
      <w:r>
        <w:t>A</w:t>
      </w:r>
      <w:r w:rsidRPr="00B4627F">
        <w:t xml:space="preserve"> Standard Requirements for the Design and Production of Annual Reports, in order to minimise our impact on the environment.</w:t>
      </w:r>
    </w:p>
    <w:p w:rsidR="00B83890" w:rsidRDefault="00B83890" w:rsidP="001442F3"/>
    <w:p w:rsidR="00B83890" w:rsidRDefault="00B83890" w:rsidP="001442F3">
      <w:r w:rsidRPr="00B4627F">
        <w:t>Further information about Museum Victoria’s activities and our achievements for 201</w:t>
      </w:r>
      <w:r>
        <w:t>2</w:t>
      </w:r>
      <w:r w:rsidRPr="00B4627F">
        <w:t>–1</w:t>
      </w:r>
      <w:r>
        <w:t>3</w:t>
      </w:r>
      <w:r w:rsidRPr="00B4627F">
        <w:t xml:space="preserve"> can be found at </w:t>
      </w:r>
      <w:hyperlink r:id="rId8" w:history="1">
        <w:r w:rsidR="006E6DC8">
          <w:rPr>
            <w:rStyle w:val="Hyperlink"/>
            <w:rFonts w:eastAsiaTheme="majorEastAsia" w:cs="Arial"/>
          </w:rPr>
          <w:t>Museum Victoria's website</w:t>
        </w:r>
      </w:hyperlink>
      <w:r w:rsidR="006E6DC8">
        <w:t xml:space="preserve"> (www.museumvictoria.com.au).</w:t>
      </w:r>
    </w:p>
    <w:p w:rsidR="00B83890" w:rsidRPr="00B4627F" w:rsidRDefault="00B83890" w:rsidP="00751B3E">
      <w:r w:rsidRPr="00B4627F">
        <w:br w:type="page"/>
      </w:r>
    </w:p>
    <w:p w:rsidR="00B83890" w:rsidRDefault="00B83890" w:rsidP="00B83890">
      <w:pPr>
        <w:pStyle w:val="Heading1"/>
      </w:pPr>
      <w:r w:rsidRPr="00701E5E">
        <w:lastRenderedPageBreak/>
        <w:t>Contents</w:t>
      </w:r>
    </w:p>
    <w:p w:rsidR="00B83890" w:rsidRPr="00E46D98" w:rsidRDefault="00B83890" w:rsidP="00B838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Contents"/>
        <w:tblDescription w:val="Table of Contents for Annual Report"/>
      </w:tblPr>
      <w:tblGrid>
        <w:gridCol w:w="7308"/>
        <w:gridCol w:w="1214"/>
      </w:tblGrid>
      <w:tr w:rsidR="0093396F" w:rsidRPr="0063061E" w:rsidTr="0093396F">
        <w:trPr>
          <w:tblHeader/>
        </w:trPr>
        <w:tc>
          <w:tcPr>
            <w:tcW w:w="7308" w:type="dxa"/>
          </w:tcPr>
          <w:p w:rsidR="0093396F" w:rsidRPr="0093396F" w:rsidRDefault="0093396F" w:rsidP="006E6DC8">
            <w:pPr>
              <w:rPr>
                <w:b/>
              </w:rPr>
            </w:pPr>
            <w:r w:rsidRPr="0093396F">
              <w:rPr>
                <w:b/>
              </w:rPr>
              <w:t>Item</w:t>
            </w:r>
          </w:p>
        </w:tc>
        <w:tc>
          <w:tcPr>
            <w:tcW w:w="1214" w:type="dxa"/>
          </w:tcPr>
          <w:p w:rsidR="0093396F" w:rsidRPr="0093396F" w:rsidRDefault="0093396F" w:rsidP="006E6DC8">
            <w:pPr>
              <w:rPr>
                <w:b/>
              </w:rPr>
            </w:pPr>
            <w:r w:rsidRPr="0093396F">
              <w:rPr>
                <w:b/>
              </w:rPr>
              <w:t>Page number</w:t>
            </w:r>
          </w:p>
        </w:tc>
      </w:tr>
      <w:tr w:rsidR="00B83890" w:rsidRPr="0063061E" w:rsidTr="006E6DC8">
        <w:tc>
          <w:tcPr>
            <w:tcW w:w="7308" w:type="dxa"/>
          </w:tcPr>
          <w:p w:rsidR="00B83890" w:rsidRPr="0063061E" w:rsidRDefault="00B83890" w:rsidP="006E6DC8">
            <w:r>
              <w:t>Accountable Officer’s Declaration</w:t>
            </w:r>
          </w:p>
        </w:tc>
        <w:tc>
          <w:tcPr>
            <w:tcW w:w="1214" w:type="dxa"/>
          </w:tcPr>
          <w:p w:rsidR="00B83890" w:rsidRPr="0063061E" w:rsidRDefault="009C1080" w:rsidP="006E6DC8">
            <w:r>
              <w:t>2</w:t>
            </w:r>
          </w:p>
        </w:tc>
      </w:tr>
      <w:tr w:rsidR="00B83890" w:rsidRPr="0063061E" w:rsidTr="006E6DC8">
        <w:tc>
          <w:tcPr>
            <w:tcW w:w="7308" w:type="dxa"/>
          </w:tcPr>
          <w:p w:rsidR="00B83890" w:rsidRDefault="00B83890" w:rsidP="006E6DC8">
            <w:r w:rsidRPr="0063061E">
              <w:t>President and Chief Executive Officer Messages</w:t>
            </w:r>
          </w:p>
        </w:tc>
        <w:tc>
          <w:tcPr>
            <w:tcW w:w="1214" w:type="dxa"/>
          </w:tcPr>
          <w:p w:rsidR="00B83890" w:rsidRPr="0063061E" w:rsidRDefault="009C1080" w:rsidP="00994BAF">
            <w:r>
              <w:t>3</w:t>
            </w:r>
            <w:r w:rsidR="00994BAF">
              <w:t>–</w:t>
            </w:r>
            <w:r>
              <w:t>4</w:t>
            </w:r>
          </w:p>
        </w:tc>
      </w:tr>
      <w:tr w:rsidR="00B83890" w:rsidRPr="0063061E" w:rsidTr="006E6DC8">
        <w:tc>
          <w:tcPr>
            <w:tcW w:w="7308" w:type="dxa"/>
          </w:tcPr>
          <w:p w:rsidR="00B83890" w:rsidRPr="0063061E" w:rsidRDefault="00B83890" w:rsidP="006E6DC8">
            <w:r w:rsidRPr="0063061E">
              <w:t>Profile of Museum Victoria</w:t>
            </w:r>
          </w:p>
        </w:tc>
        <w:tc>
          <w:tcPr>
            <w:tcW w:w="1214" w:type="dxa"/>
          </w:tcPr>
          <w:p w:rsidR="00B83890" w:rsidRPr="0063061E" w:rsidRDefault="009C1080" w:rsidP="00994BAF">
            <w:r>
              <w:t>6</w:t>
            </w:r>
            <w:r w:rsidR="00994BAF">
              <w:t>–</w:t>
            </w:r>
            <w:r>
              <w:t>7</w:t>
            </w:r>
          </w:p>
        </w:tc>
      </w:tr>
      <w:tr w:rsidR="00B83890" w:rsidRPr="0063061E" w:rsidTr="006E6DC8">
        <w:tc>
          <w:tcPr>
            <w:tcW w:w="7308" w:type="dxa"/>
          </w:tcPr>
          <w:p w:rsidR="00B83890" w:rsidRPr="0063061E" w:rsidRDefault="00B83890" w:rsidP="006E6DC8">
            <w:r w:rsidRPr="0063061E">
              <w:t>The Year in Brief</w:t>
            </w:r>
          </w:p>
        </w:tc>
        <w:tc>
          <w:tcPr>
            <w:tcW w:w="1214" w:type="dxa"/>
          </w:tcPr>
          <w:p w:rsidR="00B83890" w:rsidRPr="0063061E" w:rsidRDefault="009C1080" w:rsidP="00994BAF">
            <w:r>
              <w:t>8</w:t>
            </w:r>
            <w:r w:rsidR="00994BAF">
              <w:t>–</w:t>
            </w:r>
            <w:r>
              <w:t>10</w:t>
            </w:r>
          </w:p>
        </w:tc>
      </w:tr>
      <w:tr w:rsidR="00B83890" w:rsidRPr="0063061E" w:rsidTr="006E6DC8">
        <w:tc>
          <w:tcPr>
            <w:tcW w:w="7308" w:type="dxa"/>
          </w:tcPr>
          <w:p w:rsidR="00B83890" w:rsidRPr="0063061E" w:rsidRDefault="00B83890" w:rsidP="006E6DC8">
            <w:r w:rsidRPr="0063061E">
              <w:t>Statement of Purpose, Vision and Strategic Directions</w:t>
            </w:r>
          </w:p>
        </w:tc>
        <w:tc>
          <w:tcPr>
            <w:tcW w:w="1214" w:type="dxa"/>
          </w:tcPr>
          <w:p w:rsidR="00B83890" w:rsidRPr="0063061E" w:rsidRDefault="009C1080" w:rsidP="00994BAF">
            <w:r>
              <w:t>11</w:t>
            </w:r>
            <w:r w:rsidR="00994BAF">
              <w:t>–</w:t>
            </w:r>
            <w:r>
              <w:t>12</w:t>
            </w:r>
          </w:p>
        </w:tc>
      </w:tr>
      <w:tr w:rsidR="00B83890" w:rsidRPr="0063061E" w:rsidTr="006E6DC8">
        <w:tc>
          <w:tcPr>
            <w:tcW w:w="7308" w:type="dxa"/>
          </w:tcPr>
          <w:p w:rsidR="00B83890" w:rsidRDefault="00B83890" w:rsidP="006E6DC8">
            <w:r>
              <w:t>Strategic Direction 1</w:t>
            </w:r>
          </w:p>
          <w:p w:rsidR="00B83890" w:rsidRPr="0063061E" w:rsidRDefault="00B83890" w:rsidP="006E6DC8">
            <w:r w:rsidRPr="0063061E">
              <w:t>Great Places and Spaces</w:t>
            </w:r>
          </w:p>
        </w:tc>
        <w:tc>
          <w:tcPr>
            <w:tcW w:w="1214" w:type="dxa"/>
          </w:tcPr>
          <w:p w:rsidR="00B83890" w:rsidRPr="0063061E" w:rsidRDefault="009C1080" w:rsidP="00994BAF">
            <w:r>
              <w:t>13</w:t>
            </w:r>
            <w:r w:rsidR="00994BAF">
              <w:t>–</w:t>
            </w:r>
            <w:r>
              <w:t>14</w:t>
            </w:r>
          </w:p>
        </w:tc>
      </w:tr>
      <w:tr w:rsidR="00B83890" w:rsidRPr="0063061E" w:rsidTr="006E6DC8">
        <w:tc>
          <w:tcPr>
            <w:tcW w:w="7308" w:type="dxa"/>
          </w:tcPr>
          <w:p w:rsidR="00B83890" w:rsidRDefault="00B83890" w:rsidP="006E6DC8">
            <w:r>
              <w:t>Strategic Direction 2</w:t>
            </w:r>
          </w:p>
          <w:p w:rsidR="00B83890" w:rsidRPr="0063061E" w:rsidRDefault="00B83890" w:rsidP="006E6DC8">
            <w:r w:rsidRPr="0063061E">
              <w:t>Research and Collections: Knowledge and Connections</w:t>
            </w:r>
          </w:p>
        </w:tc>
        <w:tc>
          <w:tcPr>
            <w:tcW w:w="1214" w:type="dxa"/>
          </w:tcPr>
          <w:p w:rsidR="00B83890" w:rsidRPr="0063061E" w:rsidRDefault="009C1080" w:rsidP="00994BAF">
            <w:r>
              <w:t>15</w:t>
            </w:r>
            <w:r w:rsidR="00994BAF">
              <w:t>–</w:t>
            </w:r>
            <w:r>
              <w:t>16</w:t>
            </w:r>
          </w:p>
        </w:tc>
      </w:tr>
      <w:tr w:rsidR="00B83890" w:rsidRPr="0063061E" w:rsidTr="006E6DC8">
        <w:tc>
          <w:tcPr>
            <w:tcW w:w="7308" w:type="dxa"/>
          </w:tcPr>
          <w:p w:rsidR="00B83890" w:rsidRDefault="00B83890" w:rsidP="006E6DC8">
            <w:r>
              <w:t>Strategic Direction 3</w:t>
            </w:r>
          </w:p>
          <w:p w:rsidR="00B83890" w:rsidRPr="0063061E" w:rsidRDefault="00B83890" w:rsidP="006E6DC8">
            <w:r w:rsidRPr="0063061E">
              <w:t>Inspiring Experiences: Engagement and Learning</w:t>
            </w:r>
          </w:p>
        </w:tc>
        <w:tc>
          <w:tcPr>
            <w:tcW w:w="1214" w:type="dxa"/>
          </w:tcPr>
          <w:p w:rsidR="00B83890" w:rsidRPr="0063061E" w:rsidRDefault="009C1080" w:rsidP="00994BAF">
            <w:r>
              <w:t>17</w:t>
            </w:r>
            <w:r w:rsidR="00994BAF">
              <w:t>–</w:t>
            </w:r>
            <w:r>
              <w:t>18</w:t>
            </w:r>
          </w:p>
        </w:tc>
      </w:tr>
      <w:tr w:rsidR="00B83890" w:rsidRPr="0063061E" w:rsidTr="006E6DC8">
        <w:tc>
          <w:tcPr>
            <w:tcW w:w="7308" w:type="dxa"/>
          </w:tcPr>
          <w:p w:rsidR="00B83890" w:rsidRDefault="00B83890" w:rsidP="006E6DC8">
            <w:r>
              <w:t>Strategic Direction 4</w:t>
            </w:r>
          </w:p>
          <w:p w:rsidR="00B83890" w:rsidRPr="0063061E" w:rsidRDefault="00B83890" w:rsidP="006E6DC8">
            <w:r w:rsidRPr="0063061E">
              <w:t>Innovative People, Creative Museum</w:t>
            </w:r>
          </w:p>
        </w:tc>
        <w:tc>
          <w:tcPr>
            <w:tcW w:w="1214" w:type="dxa"/>
          </w:tcPr>
          <w:p w:rsidR="00B83890" w:rsidRPr="0063061E" w:rsidRDefault="009C1080" w:rsidP="00994BAF">
            <w:r>
              <w:t>19</w:t>
            </w:r>
            <w:r w:rsidR="00994BAF">
              <w:t>–</w:t>
            </w:r>
            <w:r>
              <w:t>20</w:t>
            </w:r>
          </w:p>
        </w:tc>
      </w:tr>
      <w:tr w:rsidR="00B83890" w:rsidRPr="0063061E" w:rsidTr="006E6DC8">
        <w:tc>
          <w:tcPr>
            <w:tcW w:w="7308" w:type="dxa"/>
          </w:tcPr>
          <w:p w:rsidR="00B83890" w:rsidRDefault="00B83890" w:rsidP="006E6DC8">
            <w:r>
              <w:t>Strategic Direction 5</w:t>
            </w:r>
          </w:p>
          <w:p w:rsidR="00B83890" w:rsidRPr="0063061E" w:rsidRDefault="00B83890" w:rsidP="006E6DC8">
            <w:r w:rsidRPr="0063061E">
              <w:t>Visibility and Reputation</w:t>
            </w:r>
          </w:p>
        </w:tc>
        <w:tc>
          <w:tcPr>
            <w:tcW w:w="1214" w:type="dxa"/>
          </w:tcPr>
          <w:p w:rsidR="00B83890" w:rsidRPr="0063061E" w:rsidRDefault="009C1080" w:rsidP="00994BAF">
            <w:r>
              <w:t>21</w:t>
            </w:r>
            <w:r w:rsidR="00994BAF">
              <w:t>–</w:t>
            </w:r>
            <w:r>
              <w:t>22</w:t>
            </w:r>
          </w:p>
        </w:tc>
      </w:tr>
      <w:tr w:rsidR="00B83890" w:rsidRPr="0063061E" w:rsidTr="006E6DC8">
        <w:tc>
          <w:tcPr>
            <w:tcW w:w="7308" w:type="dxa"/>
          </w:tcPr>
          <w:p w:rsidR="00B83890" w:rsidRDefault="00B83890" w:rsidP="006E6DC8">
            <w:r>
              <w:t>Strategic Direction 6</w:t>
            </w:r>
          </w:p>
          <w:p w:rsidR="00B83890" w:rsidRPr="0063061E" w:rsidRDefault="00B83890" w:rsidP="006E6DC8">
            <w:r w:rsidRPr="0063061E">
              <w:t>Environmental Responsibility</w:t>
            </w:r>
          </w:p>
        </w:tc>
        <w:tc>
          <w:tcPr>
            <w:tcW w:w="1214" w:type="dxa"/>
          </w:tcPr>
          <w:p w:rsidR="00B83890" w:rsidRPr="0063061E" w:rsidRDefault="009C1080" w:rsidP="00994BAF">
            <w:r>
              <w:t>23</w:t>
            </w:r>
            <w:r w:rsidR="00994BAF">
              <w:t>–</w:t>
            </w:r>
            <w:r>
              <w:t>24</w:t>
            </w:r>
          </w:p>
        </w:tc>
      </w:tr>
      <w:tr w:rsidR="00B83890" w:rsidRPr="0063061E" w:rsidTr="006E6DC8">
        <w:tc>
          <w:tcPr>
            <w:tcW w:w="7308" w:type="dxa"/>
          </w:tcPr>
          <w:p w:rsidR="00B83890" w:rsidRPr="0063061E" w:rsidRDefault="00B83890" w:rsidP="006E6DC8">
            <w:r w:rsidRPr="0063061E">
              <w:t>Strategic Enablers</w:t>
            </w:r>
          </w:p>
        </w:tc>
        <w:tc>
          <w:tcPr>
            <w:tcW w:w="1214" w:type="dxa"/>
          </w:tcPr>
          <w:p w:rsidR="00B83890" w:rsidRPr="0063061E" w:rsidRDefault="009C1080" w:rsidP="00994BAF">
            <w:r>
              <w:t>25</w:t>
            </w:r>
            <w:r w:rsidR="00994BAF">
              <w:t>–</w:t>
            </w:r>
            <w:r>
              <w:t>26</w:t>
            </w:r>
          </w:p>
        </w:tc>
      </w:tr>
      <w:tr w:rsidR="00B83890" w:rsidRPr="0063061E" w:rsidTr="006E6DC8">
        <w:tc>
          <w:tcPr>
            <w:tcW w:w="7308" w:type="dxa"/>
          </w:tcPr>
          <w:p w:rsidR="00B83890" w:rsidRPr="0063061E" w:rsidRDefault="00B83890" w:rsidP="006E6DC8">
            <w:r>
              <w:t>Future Priorities</w:t>
            </w:r>
          </w:p>
        </w:tc>
        <w:tc>
          <w:tcPr>
            <w:tcW w:w="1214" w:type="dxa"/>
          </w:tcPr>
          <w:p w:rsidR="00B83890" w:rsidRPr="0063061E" w:rsidRDefault="009C1080" w:rsidP="00994BAF">
            <w:r>
              <w:t>27</w:t>
            </w:r>
            <w:r w:rsidR="00994BAF">
              <w:t>–</w:t>
            </w:r>
            <w:r>
              <w:t>28</w:t>
            </w:r>
          </w:p>
        </w:tc>
      </w:tr>
      <w:tr w:rsidR="00B83890" w:rsidRPr="0063061E" w:rsidTr="006E6DC8">
        <w:tc>
          <w:tcPr>
            <w:tcW w:w="7308" w:type="dxa"/>
          </w:tcPr>
          <w:p w:rsidR="00B83890" w:rsidRDefault="00B83890" w:rsidP="006E6DC8">
            <w:r>
              <w:t>Corporate Governance</w:t>
            </w:r>
          </w:p>
        </w:tc>
        <w:tc>
          <w:tcPr>
            <w:tcW w:w="1214" w:type="dxa"/>
          </w:tcPr>
          <w:p w:rsidR="00B83890" w:rsidRPr="0063061E" w:rsidRDefault="009C1080" w:rsidP="00994BAF">
            <w:r>
              <w:t>29</w:t>
            </w:r>
            <w:r w:rsidR="00994BAF">
              <w:t>–</w:t>
            </w:r>
            <w:r>
              <w:t>31</w:t>
            </w:r>
          </w:p>
        </w:tc>
      </w:tr>
      <w:tr w:rsidR="00B83890" w:rsidRPr="0063061E" w:rsidTr="006E6DC8">
        <w:tc>
          <w:tcPr>
            <w:tcW w:w="7308" w:type="dxa"/>
          </w:tcPr>
          <w:p w:rsidR="00B83890" w:rsidRDefault="00B83890" w:rsidP="006E6DC8">
            <w:r>
              <w:t>Our Workplace</w:t>
            </w:r>
          </w:p>
        </w:tc>
        <w:tc>
          <w:tcPr>
            <w:tcW w:w="1214" w:type="dxa"/>
          </w:tcPr>
          <w:p w:rsidR="00B83890" w:rsidRPr="0063061E" w:rsidRDefault="009C1080" w:rsidP="00994BAF">
            <w:r>
              <w:t>32</w:t>
            </w:r>
            <w:r w:rsidR="00994BAF">
              <w:t>–</w:t>
            </w:r>
            <w:r>
              <w:t>35</w:t>
            </w:r>
          </w:p>
        </w:tc>
      </w:tr>
      <w:tr w:rsidR="00B83890" w:rsidRPr="0063061E" w:rsidTr="006E6DC8">
        <w:tc>
          <w:tcPr>
            <w:tcW w:w="7308" w:type="dxa"/>
          </w:tcPr>
          <w:p w:rsidR="00B83890" w:rsidRDefault="00B83890" w:rsidP="006E6DC8">
            <w:r>
              <w:t>Financial Statements</w:t>
            </w:r>
          </w:p>
        </w:tc>
        <w:tc>
          <w:tcPr>
            <w:tcW w:w="1214" w:type="dxa"/>
          </w:tcPr>
          <w:p w:rsidR="00B83890" w:rsidRPr="0063061E" w:rsidRDefault="009C1080" w:rsidP="00994BAF">
            <w:r>
              <w:t>36</w:t>
            </w:r>
            <w:r w:rsidR="00994BAF">
              <w:t>–</w:t>
            </w:r>
            <w:r>
              <w:t>63</w:t>
            </w:r>
          </w:p>
        </w:tc>
      </w:tr>
      <w:tr w:rsidR="00B83890" w:rsidRPr="0063061E" w:rsidTr="006E6DC8">
        <w:tc>
          <w:tcPr>
            <w:tcW w:w="7308" w:type="dxa"/>
          </w:tcPr>
          <w:p w:rsidR="00B83890" w:rsidRDefault="00B83890" w:rsidP="006E6DC8">
            <w:r>
              <w:t>Auditor-General’s Report</w:t>
            </w:r>
          </w:p>
        </w:tc>
        <w:tc>
          <w:tcPr>
            <w:tcW w:w="1214" w:type="dxa"/>
          </w:tcPr>
          <w:p w:rsidR="00B83890" w:rsidRPr="0063061E" w:rsidRDefault="009C1080" w:rsidP="00994BAF">
            <w:r>
              <w:t>64</w:t>
            </w:r>
            <w:r w:rsidR="00994BAF">
              <w:t>–</w:t>
            </w:r>
            <w:r>
              <w:t>65</w:t>
            </w:r>
          </w:p>
        </w:tc>
      </w:tr>
      <w:tr w:rsidR="00B83890" w:rsidRPr="0063061E" w:rsidTr="006E6DC8">
        <w:tc>
          <w:tcPr>
            <w:tcW w:w="7308" w:type="dxa"/>
          </w:tcPr>
          <w:p w:rsidR="00B83890" w:rsidRDefault="00B83890" w:rsidP="006E6DC8">
            <w:r>
              <w:t>Statutory Reports</w:t>
            </w:r>
          </w:p>
        </w:tc>
        <w:tc>
          <w:tcPr>
            <w:tcW w:w="1214" w:type="dxa"/>
          </w:tcPr>
          <w:p w:rsidR="00B83890" w:rsidRPr="0063061E" w:rsidRDefault="009C1080" w:rsidP="00994BAF">
            <w:r>
              <w:t>66</w:t>
            </w:r>
            <w:r w:rsidR="00994BAF">
              <w:t>–73</w:t>
            </w:r>
          </w:p>
        </w:tc>
      </w:tr>
      <w:tr w:rsidR="00B83890" w:rsidRPr="0063061E" w:rsidTr="006E6DC8">
        <w:tc>
          <w:tcPr>
            <w:tcW w:w="7308" w:type="dxa"/>
          </w:tcPr>
          <w:p w:rsidR="00B83890" w:rsidRDefault="00B83890" w:rsidP="006E6DC8">
            <w:r>
              <w:t>Disclosure Index</w:t>
            </w:r>
          </w:p>
        </w:tc>
        <w:tc>
          <w:tcPr>
            <w:tcW w:w="1214" w:type="dxa"/>
          </w:tcPr>
          <w:p w:rsidR="00B83890" w:rsidRPr="0063061E" w:rsidRDefault="00994BAF" w:rsidP="00994BAF">
            <w:r>
              <w:t>74–75</w:t>
            </w:r>
          </w:p>
        </w:tc>
      </w:tr>
    </w:tbl>
    <w:p w:rsidR="00B83890" w:rsidRDefault="00B83890" w:rsidP="00B83890"/>
    <w:p w:rsidR="00B83890" w:rsidRDefault="00B83890" w:rsidP="00B83890">
      <w:pPr>
        <w:pStyle w:val="Heading1"/>
      </w:pPr>
      <w:r>
        <w:br w:type="page"/>
      </w:r>
      <w:r w:rsidRPr="003C7885">
        <w:lastRenderedPageBreak/>
        <w:t>President and Chief Executive Officer Messages</w:t>
      </w:r>
    </w:p>
    <w:p w:rsidR="00B83890" w:rsidRDefault="00B83890" w:rsidP="00B83890">
      <w:bookmarkStart w:id="0" w:name="_Toc50369325"/>
      <w:bookmarkStart w:id="1" w:name="_Toc50545018"/>
      <w:bookmarkStart w:id="2" w:name="_Toc50545103"/>
      <w:bookmarkStart w:id="3" w:name="_Toc50783672"/>
      <w:bookmarkStart w:id="4" w:name="_Toc50783673"/>
    </w:p>
    <w:bookmarkEnd w:id="0"/>
    <w:bookmarkEnd w:id="1"/>
    <w:bookmarkEnd w:id="2"/>
    <w:bookmarkEnd w:id="3"/>
    <w:bookmarkEnd w:id="4"/>
    <w:p w:rsidR="00B83890" w:rsidRPr="00521470" w:rsidRDefault="00B83890" w:rsidP="00521470">
      <w:pPr>
        <w:pStyle w:val="Heading2"/>
      </w:pPr>
      <w:r w:rsidRPr="00521470">
        <w:t>President’s Message</w:t>
      </w:r>
    </w:p>
    <w:p w:rsidR="00521470" w:rsidRPr="00521470" w:rsidRDefault="00521470" w:rsidP="001442F3"/>
    <w:p w:rsidR="00B83890" w:rsidRPr="00C5758D" w:rsidRDefault="00B83890" w:rsidP="001442F3">
      <w:r>
        <w:t xml:space="preserve">Museum Victoria had a very successful year in </w:t>
      </w:r>
      <w:r w:rsidRPr="00AC5348">
        <w:t>2012–13</w:t>
      </w:r>
      <w:r>
        <w:t xml:space="preserve">. We </w:t>
      </w:r>
      <w:r w:rsidRPr="00AC5348">
        <w:t xml:space="preserve">continued to build our national and international profile and </w:t>
      </w:r>
      <w:r>
        <w:t xml:space="preserve">to </w:t>
      </w:r>
      <w:r w:rsidRPr="00AC5348">
        <w:t xml:space="preserve">embark on major projects that will </w:t>
      </w:r>
      <w:r>
        <w:t>support</w:t>
      </w:r>
      <w:r w:rsidRPr="00AC5348">
        <w:t xml:space="preserve"> </w:t>
      </w:r>
      <w:r>
        <w:t>our</w:t>
      </w:r>
      <w:r w:rsidRPr="00AC5348">
        <w:t xml:space="preserve"> future development and deliver benefits </w:t>
      </w:r>
      <w:r>
        <w:t>to</w:t>
      </w:r>
      <w:r w:rsidRPr="00AC5348">
        <w:t xml:space="preserve"> the Victorian people. </w:t>
      </w:r>
    </w:p>
    <w:p w:rsidR="00B83890" w:rsidRPr="00C5758D" w:rsidRDefault="00B83890" w:rsidP="001442F3"/>
    <w:p w:rsidR="00B83890" w:rsidRDefault="00B83890" w:rsidP="001442F3">
      <w:r w:rsidRPr="00AC5348">
        <w:t>Melbourne Museum</w:t>
      </w:r>
      <w:r>
        <w:t>’s</w:t>
      </w:r>
      <w:r w:rsidRPr="00AC5348">
        <w:t xml:space="preserve"> contribution to the Victorian tourism sector was </w:t>
      </w:r>
      <w:r>
        <w:t>acknowledged</w:t>
      </w:r>
      <w:r w:rsidRPr="00F54A18">
        <w:t xml:space="preserve"> at the RACV 2012 Victorian Tourism Awards, where it </w:t>
      </w:r>
      <w:r>
        <w:t>won the</w:t>
      </w:r>
      <w:r w:rsidRPr="00F54A18">
        <w:t xml:space="preserve"> Major </w:t>
      </w:r>
      <w:r>
        <w:t xml:space="preserve">Tourist </w:t>
      </w:r>
      <w:r w:rsidRPr="00F54A18">
        <w:t>Attraction</w:t>
      </w:r>
      <w:r>
        <w:t xml:space="preserve"> category for the third time</w:t>
      </w:r>
      <w:r w:rsidRPr="00F54A18">
        <w:t xml:space="preserve">. </w:t>
      </w:r>
      <w:r>
        <w:t xml:space="preserve">Melbourne Museum will now join the Immigration Museum and Bunjilaka Aboriginal Cultural Centre in the </w:t>
      </w:r>
      <w:r w:rsidRPr="00F54A18">
        <w:t>Tourism Victoria Hall of Fame.</w:t>
      </w:r>
    </w:p>
    <w:p w:rsidR="00B83890" w:rsidRDefault="00B83890" w:rsidP="001442F3">
      <w:pPr>
        <w:rPr>
          <w:highlight w:val="yellow"/>
        </w:rPr>
      </w:pPr>
    </w:p>
    <w:p w:rsidR="00B83890" w:rsidRPr="00080C23" w:rsidRDefault="00B83890" w:rsidP="001442F3">
      <w:r w:rsidRPr="00AC5348">
        <w:t xml:space="preserve">Scienceworks celebrated its 21st birthday in 2013, </w:t>
      </w:r>
      <w:r>
        <w:t>and has</w:t>
      </w:r>
      <w:r w:rsidRPr="00AC5348">
        <w:t xml:space="preserve"> engaged and entertained nearly </w:t>
      </w:r>
      <w:r>
        <w:t>eight </w:t>
      </w:r>
      <w:r w:rsidRPr="00AC5348">
        <w:t>million visitors since opening in 1992. In May 2013, the projector and sound systems in the Planetarium</w:t>
      </w:r>
      <w:r>
        <w:t xml:space="preserve"> at Scienceworks</w:t>
      </w:r>
      <w:r w:rsidRPr="00AC5348">
        <w:t xml:space="preserve"> were upgraded, which significantly enhance the visitor experience.</w:t>
      </w:r>
      <w:r>
        <w:t xml:space="preserve"> This upgrade was made possible with funding from the Victorian Government.</w:t>
      </w:r>
    </w:p>
    <w:p w:rsidR="00B83890" w:rsidRPr="00080C23" w:rsidRDefault="00B83890" w:rsidP="001442F3"/>
    <w:p w:rsidR="00B83890" w:rsidRDefault="00B83890" w:rsidP="001442F3">
      <w:r w:rsidRPr="00AC5348">
        <w:t>During 2012–13, work continued on two exciting new long-term exhibitions</w:t>
      </w:r>
      <w:r>
        <w:t xml:space="preserve">: </w:t>
      </w:r>
      <w:r w:rsidRPr="00AC5348">
        <w:rPr>
          <w:i/>
        </w:rPr>
        <w:t>First Peoples</w:t>
      </w:r>
      <w:r w:rsidRPr="00AC5348">
        <w:t xml:space="preserve"> (in Bunjilaka, Melbourne Museum) and </w:t>
      </w:r>
      <w:r w:rsidRPr="00AC5348">
        <w:rPr>
          <w:i/>
        </w:rPr>
        <w:t>Think Ahead</w:t>
      </w:r>
      <w:r w:rsidRPr="00AC5348">
        <w:t xml:space="preserve"> (at Scienceworks)</w:t>
      </w:r>
      <w:r>
        <w:t>. B</w:t>
      </w:r>
      <w:r w:rsidRPr="00AC5348">
        <w:t xml:space="preserve">oth </w:t>
      </w:r>
      <w:r>
        <w:t>exhibitions</w:t>
      </w:r>
      <w:r w:rsidRPr="00AC5348">
        <w:t xml:space="preserve"> will open in late 2013. Long-term exhibition renewal is funded by the Victorian Government and is critical for the ongoing success of Museum Victoria. The renewal program is currently funded to the end of 2013–14 and we will work with the government to extend it</w:t>
      </w:r>
      <w:r>
        <w:t>s support</w:t>
      </w:r>
      <w:r w:rsidRPr="00AC5348">
        <w:t xml:space="preserve"> into future years</w:t>
      </w:r>
      <w:r>
        <w:t>, as we embark upon a new exhibition for the Children’s Gallery</w:t>
      </w:r>
      <w:r w:rsidRPr="00AC5348">
        <w:t>.</w:t>
      </w:r>
    </w:p>
    <w:p w:rsidR="00B83890" w:rsidRDefault="00B83890" w:rsidP="001442F3"/>
    <w:p w:rsidR="00B83890" w:rsidRPr="005D3CEA" w:rsidRDefault="00B83890" w:rsidP="001442F3">
      <w:r>
        <w:t>Dr Gaye Sculthorpe</w:t>
      </w:r>
      <w:r w:rsidRPr="00AC5348">
        <w:t xml:space="preserve"> left the Museums Board of Victoria in </w:t>
      </w:r>
      <w:r>
        <w:t>February</w:t>
      </w:r>
      <w:r w:rsidRPr="00AC5348">
        <w:t xml:space="preserve"> </w:t>
      </w:r>
      <w:r>
        <w:t xml:space="preserve">to take up a position at the British Museum and Mr Michael Perry completed his final term in June, after nine years on the Board. </w:t>
      </w:r>
      <w:r w:rsidRPr="00AC5348">
        <w:t xml:space="preserve">I would like to thank </w:t>
      </w:r>
      <w:r>
        <w:t xml:space="preserve">both Gaye and Michael </w:t>
      </w:r>
      <w:r w:rsidRPr="00AC5348">
        <w:t xml:space="preserve">for </w:t>
      </w:r>
      <w:r>
        <w:t>their</w:t>
      </w:r>
      <w:r w:rsidRPr="00AC5348">
        <w:t xml:space="preserve"> </w:t>
      </w:r>
      <w:r>
        <w:t xml:space="preserve">significant </w:t>
      </w:r>
      <w:r w:rsidRPr="00AC5348">
        <w:t>contribution</w:t>
      </w:r>
      <w:r>
        <w:t>s to the Board</w:t>
      </w:r>
      <w:r w:rsidRPr="00AC5348">
        <w:t>. I look forward to continuing to work with my colleagues on the Board to ensure Museum Victoria is able to provide engaging and inspiring experiences for all Victorians into the future.</w:t>
      </w:r>
    </w:p>
    <w:p w:rsidR="00B83890" w:rsidRPr="00701E5E" w:rsidRDefault="00B83890" w:rsidP="001442F3">
      <w:pPr>
        <w:rPr>
          <w:szCs w:val="24"/>
        </w:rPr>
      </w:pPr>
    </w:p>
    <w:p w:rsidR="00B83890" w:rsidRPr="00701E5E" w:rsidRDefault="00B83890" w:rsidP="001442F3">
      <w:pPr>
        <w:rPr>
          <w:b/>
        </w:rPr>
      </w:pPr>
      <w:r>
        <w:rPr>
          <w:b/>
        </w:rPr>
        <w:t>Professor Margaret Gardner AO</w:t>
      </w:r>
    </w:p>
    <w:p w:rsidR="00B83890" w:rsidRPr="00701E5E" w:rsidRDefault="00B83890" w:rsidP="001442F3">
      <w:r w:rsidRPr="00701E5E">
        <w:rPr>
          <w:b/>
        </w:rPr>
        <w:t>President, Museums Board of Victoria</w:t>
      </w:r>
    </w:p>
    <w:p w:rsidR="00B83890" w:rsidRPr="00701E5E" w:rsidRDefault="00B83890" w:rsidP="00B83890">
      <w:pPr>
        <w:pStyle w:val="Heading2"/>
      </w:pPr>
    </w:p>
    <w:p w:rsidR="00B83890" w:rsidRDefault="00B83890" w:rsidP="00B83890">
      <w:pPr>
        <w:rPr>
          <w:sz w:val="40"/>
        </w:rPr>
      </w:pPr>
      <w:r>
        <w:br w:type="page"/>
      </w:r>
    </w:p>
    <w:p w:rsidR="00B83890" w:rsidRDefault="00B83890" w:rsidP="00B83890">
      <w:pPr>
        <w:pStyle w:val="Heading2"/>
      </w:pPr>
      <w:r w:rsidRPr="007A697A">
        <w:lastRenderedPageBreak/>
        <w:t>Chief Executive Officer’s Message</w:t>
      </w:r>
    </w:p>
    <w:p w:rsidR="00B83890" w:rsidRPr="00910BEA" w:rsidRDefault="00B83890" w:rsidP="001442F3">
      <w:r>
        <w:t>In 2012–13, Museum Victoria enjoyed strong attendances at all of our museum venues and five million visits to our website.</w:t>
      </w:r>
    </w:p>
    <w:p w:rsidR="00B83890" w:rsidRPr="00910BEA" w:rsidRDefault="00B83890" w:rsidP="001442F3">
      <w:pPr>
        <w:rPr>
          <w:i/>
        </w:rPr>
      </w:pPr>
    </w:p>
    <w:p w:rsidR="00B83890" w:rsidRPr="00F54A18" w:rsidRDefault="00B83890" w:rsidP="001442F3">
      <w:pPr>
        <w:rPr>
          <w:bCs/>
        </w:rPr>
      </w:pPr>
      <w:r>
        <w:t>We</w:t>
      </w:r>
      <w:r w:rsidRPr="00EA6294">
        <w:t xml:space="preserve"> continued to tour </w:t>
      </w:r>
      <w:r>
        <w:t>outstanding</w:t>
      </w:r>
      <w:r w:rsidRPr="00EA6294">
        <w:t xml:space="preserve"> cultural experiences to regional Victoria</w:t>
      </w:r>
      <w:r>
        <w:t xml:space="preserve">, and in late 2012 the exhibition </w:t>
      </w:r>
      <w:r w:rsidRPr="00EA6294">
        <w:rPr>
          <w:i/>
        </w:rPr>
        <w:t>The Art of Science</w:t>
      </w:r>
      <w:r>
        <w:t xml:space="preserve"> commenced a tour of both regional Victorian and interstate venues. This Museum Victoria–developed exhibition explores the beauty of 300 years of scientific illustration. Our Discovery Program undertook a major tour to Mildura in September 2012 and presented a series of programs in partnership with the Mildura Arts Centre. It also reached 90,450 people across regional and metropolitan Victoria.</w:t>
      </w:r>
    </w:p>
    <w:p w:rsidR="00B83890" w:rsidRPr="00B739C7" w:rsidRDefault="00B83890" w:rsidP="001442F3">
      <w:pPr>
        <w:rPr>
          <w:i/>
        </w:rPr>
      </w:pPr>
    </w:p>
    <w:p w:rsidR="00B83890" w:rsidRDefault="00B83890" w:rsidP="001442F3">
      <w:pPr>
        <w:rPr>
          <w:lang w:val="en-US"/>
        </w:rPr>
      </w:pPr>
      <w:r w:rsidRPr="00B739C7">
        <w:t xml:space="preserve">We enhanced our international reputation during the year </w:t>
      </w:r>
      <w:r>
        <w:t>with some high-</w:t>
      </w:r>
      <w:r w:rsidRPr="00B739C7">
        <w:t>profile projects.</w:t>
      </w:r>
      <w:r w:rsidRPr="00B739C7">
        <w:rPr>
          <w:lang w:val="en-US"/>
        </w:rPr>
        <w:t xml:space="preserve"> The exhibition </w:t>
      </w:r>
      <w:r w:rsidRPr="00B739C7">
        <w:rPr>
          <w:i/>
          <w:lang w:val="en-US"/>
        </w:rPr>
        <w:t>Tjukurrtjanu: Origins of Western Desert Art</w:t>
      </w:r>
      <w:r w:rsidRPr="00B739C7">
        <w:rPr>
          <w:lang w:val="en-US"/>
        </w:rPr>
        <w:t>, developed by the</w:t>
      </w:r>
      <w:r w:rsidRPr="00F54A18">
        <w:rPr>
          <w:lang w:val="en-US"/>
        </w:rPr>
        <w:t xml:space="preserve"> </w:t>
      </w:r>
      <w:r>
        <w:rPr>
          <w:lang w:val="en-US"/>
        </w:rPr>
        <w:t xml:space="preserve">Museum Victoria, the </w:t>
      </w:r>
      <w:r w:rsidRPr="00F54A18">
        <w:rPr>
          <w:lang w:val="en-US"/>
        </w:rPr>
        <w:t>National Gallery of Victoria</w:t>
      </w:r>
      <w:r>
        <w:rPr>
          <w:lang w:val="en-US"/>
        </w:rPr>
        <w:t xml:space="preserve"> </w:t>
      </w:r>
      <w:r w:rsidRPr="00F54A18">
        <w:rPr>
          <w:lang w:val="en-US"/>
        </w:rPr>
        <w:t xml:space="preserve">and Papunya Tula Artists, </w:t>
      </w:r>
      <w:r>
        <w:rPr>
          <w:lang w:val="en-US"/>
        </w:rPr>
        <w:t>toured to the Musée du quai Branly in Paris in late 2012. The exhibition proved very popular with visitors</w:t>
      </w:r>
      <w:r w:rsidRPr="00F54A18">
        <w:rPr>
          <w:lang w:val="en-US"/>
        </w:rPr>
        <w:t xml:space="preserve">, making it one of the most </w:t>
      </w:r>
      <w:r>
        <w:rPr>
          <w:lang w:val="en-US"/>
        </w:rPr>
        <w:t>successful</w:t>
      </w:r>
      <w:r w:rsidRPr="00F54A18">
        <w:rPr>
          <w:lang w:val="en-US"/>
        </w:rPr>
        <w:t xml:space="preserve"> exhibitions </w:t>
      </w:r>
      <w:r>
        <w:rPr>
          <w:lang w:val="en-US"/>
        </w:rPr>
        <w:t>it has ever</w:t>
      </w:r>
      <w:r w:rsidRPr="00F54A18">
        <w:rPr>
          <w:lang w:val="en-US"/>
        </w:rPr>
        <w:t xml:space="preserve"> hosted.</w:t>
      </w:r>
      <w:r>
        <w:rPr>
          <w:lang w:val="en-US"/>
        </w:rPr>
        <w:t xml:space="preserve"> </w:t>
      </w:r>
    </w:p>
    <w:p w:rsidR="00B83890" w:rsidRDefault="00B83890" w:rsidP="001442F3">
      <w:pPr>
        <w:rPr>
          <w:lang w:val="en-US"/>
        </w:rPr>
      </w:pPr>
    </w:p>
    <w:p w:rsidR="00B83890" w:rsidRPr="007F5EE7" w:rsidRDefault="00B83890" w:rsidP="001442F3">
      <w:pPr>
        <w:rPr>
          <w:lang w:val="en-US"/>
        </w:rPr>
      </w:pPr>
      <w:r>
        <w:t>In March 2013, I</w:t>
      </w:r>
      <w:r w:rsidRPr="00F54A18">
        <w:t xml:space="preserve"> visited </w:t>
      </w:r>
      <w:r>
        <w:t xml:space="preserve">China to sign a memorandum of understanding with </w:t>
      </w:r>
      <w:r w:rsidRPr="00F54A18">
        <w:t>the Shanghai Museum of Science and Technology</w:t>
      </w:r>
      <w:r>
        <w:t>. This memorandum supports one of the key areas of focus in our new strategic plan, which is to increase exchange and collaboration with Asian scientific and cultural institutions.</w:t>
      </w:r>
    </w:p>
    <w:p w:rsidR="00B83890" w:rsidRPr="00677DA4" w:rsidRDefault="00B83890" w:rsidP="001442F3"/>
    <w:p w:rsidR="00B83890" w:rsidRPr="00677DA4" w:rsidRDefault="00B83890" w:rsidP="001442F3">
      <w:r>
        <w:t>Our work in promoting international partnerships was also recognised a</w:t>
      </w:r>
      <w:r w:rsidRPr="00677DA4">
        <w:t>t the Museums Australia Conference 2013</w:t>
      </w:r>
      <w:r>
        <w:t>, held</w:t>
      </w:r>
      <w:r w:rsidRPr="00677DA4">
        <w:t xml:space="preserve"> in Canberra</w:t>
      </w:r>
      <w:r>
        <w:t xml:space="preserve">. </w:t>
      </w:r>
      <w:r w:rsidRPr="00677DA4">
        <w:t>Museum Victoria and the JSW Foundation were awarded the ICOM Interna</w:t>
      </w:r>
      <w:r>
        <w:t>tional Relations Award for 2013, acknowledging</w:t>
      </w:r>
      <w:r w:rsidRPr="00677DA4">
        <w:t xml:space="preserve"> the </w:t>
      </w:r>
      <w:r>
        <w:t>significant</w:t>
      </w:r>
      <w:r w:rsidRPr="00677DA4">
        <w:t xml:space="preserve"> work </w:t>
      </w:r>
      <w:r>
        <w:t>undertaken by</w:t>
      </w:r>
      <w:r w:rsidRPr="00677DA4">
        <w:t xml:space="preserve"> Dr Sarah Kenderdine and her team for P</w:t>
      </w:r>
      <w:r>
        <w:t>lace</w:t>
      </w:r>
      <w:r w:rsidRPr="00677DA4">
        <w:t>–Hampi Museum at Kaladham, Vijayanagar in Karnataka, India.</w:t>
      </w:r>
      <w:r>
        <w:t xml:space="preserve"> </w:t>
      </w:r>
    </w:p>
    <w:p w:rsidR="00B83890" w:rsidRPr="00D054A3" w:rsidRDefault="00B83890" w:rsidP="001442F3">
      <w:pPr>
        <w:rPr>
          <w:highlight w:val="yellow"/>
        </w:rPr>
      </w:pPr>
    </w:p>
    <w:p w:rsidR="00B83890" w:rsidRPr="009B7678" w:rsidRDefault="00B83890" w:rsidP="001442F3">
      <w:r w:rsidRPr="00AC5348">
        <w:t>Museum Victoria</w:t>
      </w:r>
      <w:r>
        <w:t>’s achievements</w:t>
      </w:r>
      <w:r w:rsidRPr="00AC5348">
        <w:t xml:space="preserve"> throughout the year are due to the efforts of the Board, staff, volunteers and supporters. I would like to thank everyone for their contribution to the excellent results we have enjoyed over the past 12 months.</w:t>
      </w:r>
      <w:r>
        <w:t xml:space="preserve"> </w:t>
      </w:r>
    </w:p>
    <w:p w:rsidR="00B83890" w:rsidRPr="00701E5E" w:rsidRDefault="00B83890" w:rsidP="001442F3">
      <w:pPr>
        <w:rPr>
          <w:b/>
          <w:bCs/>
        </w:rPr>
      </w:pPr>
    </w:p>
    <w:p w:rsidR="00B83890" w:rsidRPr="00701E5E" w:rsidRDefault="00B83890" w:rsidP="001442F3">
      <w:pPr>
        <w:rPr>
          <w:b/>
          <w:bCs/>
        </w:rPr>
      </w:pPr>
      <w:r>
        <w:rPr>
          <w:b/>
          <w:bCs/>
        </w:rPr>
        <w:t>Dr J.</w:t>
      </w:r>
      <w:r w:rsidRPr="00701E5E">
        <w:rPr>
          <w:b/>
          <w:bCs/>
        </w:rPr>
        <w:t xml:space="preserve"> Patrick Greene</w:t>
      </w:r>
    </w:p>
    <w:p w:rsidR="00B83890" w:rsidRPr="00701E5E" w:rsidRDefault="00B83890" w:rsidP="001442F3">
      <w:pPr>
        <w:rPr>
          <w:b/>
          <w:bCs/>
        </w:rPr>
      </w:pPr>
      <w:r w:rsidRPr="00701E5E">
        <w:rPr>
          <w:b/>
          <w:bCs/>
        </w:rPr>
        <w:t>Chief Executive Officer</w:t>
      </w:r>
    </w:p>
    <w:p w:rsidR="00B83890" w:rsidRDefault="00B83890" w:rsidP="001442F3"/>
    <w:p w:rsidR="00B83890" w:rsidRDefault="00B83890" w:rsidP="001442F3">
      <w:r>
        <w:br w:type="page"/>
      </w:r>
    </w:p>
    <w:p w:rsidR="00B83890" w:rsidRDefault="00B83890" w:rsidP="00F86D12">
      <w:pPr>
        <w:pStyle w:val="Heading1"/>
      </w:pPr>
      <w:r>
        <w:lastRenderedPageBreak/>
        <w:t>Profile of Museum Victoria</w:t>
      </w:r>
    </w:p>
    <w:p w:rsidR="00B83890" w:rsidRPr="00AB7A3F" w:rsidRDefault="00B83890" w:rsidP="001442F3">
      <w:r w:rsidRPr="00AB7A3F">
        <w:t xml:space="preserve">Museum Victoria is Australia’s largest public museum organisation. As the </w:t>
      </w:r>
      <w:r>
        <w:t>s</w:t>
      </w:r>
      <w:r w:rsidRPr="009543CB">
        <w:t>tate</w:t>
      </w:r>
      <w:r w:rsidRPr="00AB7A3F">
        <w:t xml:space="preserve"> museum for Victoria, </w:t>
      </w:r>
      <w:r>
        <w:t>we are</w:t>
      </w:r>
      <w:r w:rsidRPr="00AB7A3F">
        <w:t xml:space="preserve"> responsible for looking after the </w:t>
      </w:r>
      <w:r>
        <w:t>S</w:t>
      </w:r>
      <w:r w:rsidRPr="009543CB">
        <w:t>tate</w:t>
      </w:r>
      <w:r w:rsidRPr="00AB7A3F">
        <w:t xml:space="preserve"> </w:t>
      </w:r>
      <w:r>
        <w:t>C</w:t>
      </w:r>
      <w:r w:rsidRPr="00AB7A3F">
        <w:t>ollection, conducting research</w:t>
      </w:r>
      <w:r>
        <w:t>,</w:t>
      </w:r>
      <w:r w:rsidRPr="00AB7A3F">
        <w:t xml:space="preserve"> and providing cultural and science programs for the people of Victoria and visitors from interstate and overseas.</w:t>
      </w:r>
    </w:p>
    <w:p w:rsidR="00B83890" w:rsidRPr="00AB7A3F" w:rsidRDefault="00B83890" w:rsidP="001442F3"/>
    <w:p w:rsidR="00B83890" w:rsidRPr="00AB7A3F" w:rsidRDefault="00B83890" w:rsidP="001442F3">
      <w:r>
        <w:t xml:space="preserve">Museum Victoria </w:t>
      </w:r>
      <w:r w:rsidRPr="00AB7A3F">
        <w:t>date</w:t>
      </w:r>
      <w:r>
        <w:t>s</w:t>
      </w:r>
      <w:r w:rsidRPr="00AB7A3F">
        <w:t xml:space="preserve"> back to 1854</w:t>
      </w:r>
      <w:r>
        <w:t>,</w:t>
      </w:r>
      <w:r w:rsidRPr="00AB7A3F">
        <w:t xml:space="preserve"> with the founding of the National Museum of Victoria and the establishment, in 1870, of the Industrial and Technological Museum of Victoria (later known as the Science Museum of Victoria). By proclamation of the </w:t>
      </w:r>
      <w:r w:rsidRPr="00AB7A3F">
        <w:rPr>
          <w:i/>
        </w:rPr>
        <w:t xml:space="preserve">Museums Act 1983 </w:t>
      </w:r>
      <w:r w:rsidRPr="00AB7A3F">
        <w:t>(Vic.), these two institutions were amalgamated to form what is today known as Museum Victoria, governed by the Museums Board of Victoria.</w:t>
      </w:r>
    </w:p>
    <w:p w:rsidR="00B83890" w:rsidRDefault="00B83890" w:rsidP="001442F3"/>
    <w:p w:rsidR="00B83890" w:rsidRDefault="00B83890" w:rsidP="001442F3">
      <w:r>
        <w:t xml:space="preserve">Museum Victoria undertakes high-quality research on historical and contemporary issues in the fields of science, history and technology, and Indigenous cultures. Our research is based on an internationally significant collection of nearly 17 million items </w:t>
      </w:r>
      <w:r w:rsidRPr="009635F6">
        <w:t>and is carried out by expert curators. Museum Victoria operates</w:t>
      </w:r>
      <w:r w:rsidRPr="00AB7A3F">
        <w:t xml:space="preserve"> three museums</w:t>
      </w:r>
      <w:r>
        <w:t>, a collection storage facility and a non-collection facility</w:t>
      </w:r>
      <w:r w:rsidRPr="00AB7A3F">
        <w:t>, and is c</w:t>
      </w:r>
      <w:r>
        <w:t xml:space="preserve">ustodian for the World </w:t>
      </w:r>
      <w:r w:rsidRPr="00027025">
        <w:t>Heritage</w:t>
      </w:r>
      <w:r>
        <w:t>–</w:t>
      </w:r>
      <w:r w:rsidRPr="00027025">
        <w:t>listed Royal Exhibition Building.</w:t>
      </w:r>
    </w:p>
    <w:p w:rsidR="00B83890" w:rsidRDefault="00B83890" w:rsidP="0099724A">
      <w:r>
        <w:softHyphen/>
      </w:r>
      <w:r>
        <w:softHyphen/>
      </w:r>
      <w:r>
        <w:softHyphen/>
      </w:r>
      <w:r>
        <w:softHyphen/>
      </w:r>
      <w:r>
        <w:softHyphen/>
      </w:r>
    </w:p>
    <w:p w:rsidR="00B83890" w:rsidRDefault="00B83890" w:rsidP="004B1BAA">
      <w:pPr>
        <w:pStyle w:val="Heading2"/>
      </w:pPr>
      <w:r w:rsidRPr="00976B9F">
        <w:t>Immigration Museum</w:t>
      </w:r>
    </w:p>
    <w:p w:rsidR="00B83890" w:rsidRDefault="00B83890" w:rsidP="001442F3">
      <w:r>
        <w:t>Opened November 1998</w:t>
      </w:r>
    </w:p>
    <w:p w:rsidR="00B83890" w:rsidRDefault="00B83890" w:rsidP="001442F3">
      <w:pPr>
        <w:rPr>
          <w:rFonts w:ascii="Calibri" w:hAnsi="Calibri"/>
          <w:szCs w:val="24"/>
        </w:rPr>
      </w:pPr>
      <w:r w:rsidRPr="00AB7A3F">
        <w:t>The Immigration Museum is one of the world’s leading social history museums, and is situated in the historic Old Customs House on Flinders Street. It is a living cultural centre that engages visitors with the history and experiences of immigration and cultural diversity that have contributed to the shaping of modern Australia.</w:t>
      </w:r>
    </w:p>
    <w:p w:rsidR="00B83890" w:rsidRDefault="00B83890" w:rsidP="001442F3"/>
    <w:p w:rsidR="00B83890" w:rsidRDefault="00B83890" w:rsidP="004B1BAA">
      <w:pPr>
        <w:pStyle w:val="Heading2"/>
      </w:pPr>
      <w:r w:rsidRPr="003F2F71">
        <w:t>Scienceworks</w:t>
      </w:r>
    </w:p>
    <w:p w:rsidR="00B83890" w:rsidRDefault="00B83890" w:rsidP="00B83890">
      <w:r>
        <w:t>Opened March 1992</w:t>
      </w:r>
    </w:p>
    <w:p w:rsidR="00B83890" w:rsidRPr="00AB7A3F" w:rsidRDefault="00B83890" w:rsidP="00B83890">
      <w:r w:rsidRPr="00AB7A3F">
        <w:t>Located in the grounds of and incorporating the historic Spotswood Pumping Station, this extremely popular science and technology museum features modern interactive exhibition galleries, Melbourne Planetarium and the Lightning Room.</w:t>
      </w:r>
    </w:p>
    <w:p w:rsidR="00B83890" w:rsidRDefault="00B83890" w:rsidP="00B83890"/>
    <w:p w:rsidR="00B83890" w:rsidRDefault="00B83890" w:rsidP="004B1BAA">
      <w:pPr>
        <w:pStyle w:val="Heading2"/>
      </w:pPr>
      <w:r w:rsidRPr="003F2F71">
        <w:t>Melbourne Museum</w:t>
      </w:r>
    </w:p>
    <w:p w:rsidR="00B83890" w:rsidRDefault="00B83890" w:rsidP="00B83890">
      <w:r>
        <w:t>Opened October 2000</w:t>
      </w:r>
    </w:p>
    <w:p w:rsidR="00B83890" w:rsidRDefault="00B83890" w:rsidP="00B83890">
      <w:r w:rsidRPr="00AB7A3F">
        <w:t xml:space="preserve">The iconic Melbourne Museum stands adjacent to the historic Royal Exhibition Building, in Carlton Gardens. Melbourne Museum </w:t>
      </w:r>
      <w:r>
        <w:t>incorporates the Bunjilaka Aboriginal Cultural Centre</w:t>
      </w:r>
      <w:r w:rsidRPr="00AB7A3F">
        <w:t xml:space="preserve"> </w:t>
      </w:r>
      <w:r>
        <w:t xml:space="preserve">and </w:t>
      </w:r>
      <w:r w:rsidRPr="00AB7A3F">
        <w:t>showcases Australian social history, Indigenous cultures, the human mind and body, science and technology, and the environment. Museum Victoria also operates the IMAX Theatre at Melbourne Museum.</w:t>
      </w:r>
    </w:p>
    <w:p w:rsidR="00B83890" w:rsidRPr="00976B9F" w:rsidRDefault="00B83890" w:rsidP="00B83890"/>
    <w:p w:rsidR="00B83890" w:rsidRDefault="00B83890" w:rsidP="004B1BAA">
      <w:pPr>
        <w:pStyle w:val="Heading2"/>
      </w:pPr>
      <w:r w:rsidRPr="003F2F71">
        <w:t>Royal Exhibition Building</w:t>
      </w:r>
    </w:p>
    <w:p w:rsidR="00B83890" w:rsidRDefault="00B83890" w:rsidP="00B83890">
      <w:r>
        <w:t>Constructed 1879–80</w:t>
      </w:r>
    </w:p>
    <w:p w:rsidR="00B83890" w:rsidRDefault="00B83890" w:rsidP="00B83890">
      <w:r>
        <w:t>Museum Victoria custodianship since 1996</w:t>
      </w:r>
    </w:p>
    <w:p w:rsidR="00B83890" w:rsidRPr="00976B9F" w:rsidRDefault="00B83890" w:rsidP="00B83890">
      <w:r w:rsidRPr="00DF6256">
        <w:t xml:space="preserve">Located in Carlton Gardens alongside Melbourne Museum, the Royal Exhibition Building was built for the 1880 Melbourne International Exhibition and </w:t>
      </w:r>
      <w:r>
        <w:t xml:space="preserve">it </w:t>
      </w:r>
      <w:r w:rsidRPr="00DF6256">
        <w:t>continues to host exhibitions and other events. The building and gardens were inscribed on the UNESCO World Heritage register in July 2004.</w:t>
      </w:r>
    </w:p>
    <w:p w:rsidR="00B83890" w:rsidRDefault="00B83890" w:rsidP="00B83890"/>
    <w:p w:rsidR="00B83890" w:rsidRDefault="00B83890" w:rsidP="004B1BAA">
      <w:pPr>
        <w:pStyle w:val="Heading2"/>
      </w:pPr>
      <w:r w:rsidRPr="003F2F71">
        <w:t>Moreland Annexe</w:t>
      </w:r>
    </w:p>
    <w:p w:rsidR="00B83890" w:rsidRDefault="00B83890" w:rsidP="00B83890">
      <w:r>
        <w:t>Opened October 1996</w:t>
      </w:r>
    </w:p>
    <w:p w:rsidR="00B83890" w:rsidRPr="00976B9F" w:rsidRDefault="00B83890" w:rsidP="00B83890">
      <w:r w:rsidRPr="00DF6256">
        <w:lastRenderedPageBreak/>
        <w:t>Museum Victoria’s off-site collection storage facility houses the largest of the museum’s collection items, and complements the collection stores at Melbourne Museum and Scienceworks.</w:t>
      </w:r>
    </w:p>
    <w:p w:rsidR="00B83890" w:rsidRDefault="00B83890" w:rsidP="00B83890"/>
    <w:p w:rsidR="00B83890" w:rsidRDefault="00B83890" w:rsidP="00B83890"/>
    <w:p w:rsidR="00B83890" w:rsidRDefault="00B83890" w:rsidP="004B1BAA">
      <w:pPr>
        <w:pStyle w:val="Heading2"/>
      </w:pPr>
      <w:r w:rsidRPr="00DF6256">
        <w:t>Simcock Avenue Store</w:t>
      </w:r>
    </w:p>
    <w:p w:rsidR="00B83890" w:rsidRDefault="00B83890" w:rsidP="000A7F62">
      <w:r w:rsidRPr="00DF6256">
        <w:t>Opened November 2007</w:t>
      </w:r>
    </w:p>
    <w:p w:rsidR="00B83890" w:rsidRDefault="00B83890" w:rsidP="000A7F62">
      <w:r w:rsidRPr="00DF6256">
        <w:t xml:space="preserve">Museum Victoria operates a non-collection store on behalf of a number of arts agencies. The store is adjacent to Scienceworks on land that was purchased by the </w:t>
      </w:r>
      <w:r w:rsidRPr="00701435">
        <w:t>state government</w:t>
      </w:r>
      <w:r w:rsidRPr="00DF6256">
        <w:t xml:space="preserve"> for </w:t>
      </w:r>
      <w:r>
        <w:t xml:space="preserve">the </w:t>
      </w:r>
      <w:r w:rsidRPr="00DF6256">
        <w:t>Collections Victoria</w:t>
      </w:r>
      <w:r>
        <w:t xml:space="preserve"> project</w:t>
      </w:r>
      <w:r w:rsidRPr="00DF6256">
        <w:t>, which will provide a secure home for Victoria’s cultural assets.</w:t>
      </w:r>
    </w:p>
    <w:p w:rsidR="00B83890" w:rsidRDefault="00B83890" w:rsidP="000A7F62"/>
    <w:p w:rsidR="00B83890" w:rsidRDefault="00B83890" w:rsidP="000A7F62">
      <w:pPr>
        <w:sectPr w:rsidR="00B83890" w:rsidSect="006E6DC8">
          <w:footerReference w:type="default" r:id="rId9"/>
          <w:pgSz w:w="11906" w:h="16838"/>
          <w:pgMar w:top="1440" w:right="1440" w:bottom="1440" w:left="1440" w:header="708" w:footer="708" w:gutter="0"/>
          <w:cols w:space="708"/>
          <w:titlePg/>
          <w:docGrid w:linePitch="360"/>
        </w:sectPr>
      </w:pPr>
    </w:p>
    <w:p w:rsidR="00B83890" w:rsidRDefault="00B83890" w:rsidP="00F86D12">
      <w:pPr>
        <w:pStyle w:val="Heading1"/>
      </w:pPr>
      <w:r w:rsidRPr="00D30A23">
        <w:lastRenderedPageBreak/>
        <w:t>The Year in Brief</w:t>
      </w:r>
    </w:p>
    <w:p w:rsidR="00B83890" w:rsidRDefault="00B83890" w:rsidP="00B83890">
      <w:pPr>
        <w:pStyle w:val="Heading3"/>
      </w:pPr>
    </w:p>
    <w:p w:rsidR="00B83890" w:rsidRDefault="00B83890" w:rsidP="00B83890">
      <w:pPr>
        <w:pStyle w:val="Heading2"/>
      </w:pPr>
      <w:r w:rsidRPr="00701E5E">
        <w:t xml:space="preserve">Key </w:t>
      </w:r>
      <w:r>
        <w:t>Indicators</w:t>
      </w:r>
      <w:r w:rsidRPr="00701E5E">
        <w:t xml:space="preserve"> </w:t>
      </w:r>
    </w:p>
    <w:tbl>
      <w:tblPr>
        <w:tblW w:w="12760" w:type="dxa"/>
        <w:tblBorders>
          <w:bottom w:val="single" w:sz="4" w:space="0" w:color="808080"/>
          <w:insideH w:val="single" w:sz="4" w:space="0" w:color="808080"/>
        </w:tblBorders>
        <w:tblLayout w:type="fixed"/>
        <w:tblLook w:val="0000" w:firstRow="0" w:lastRow="0" w:firstColumn="0" w:lastColumn="0" w:noHBand="0" w:noVBand="0"/>
        <w:tblCaption w:val="Key Indicators"/>
        <w:tblDescription w:val="Table shows results for Key Performance Indicators for 2012–13 and for prior years."/>
      </w:tblPr>
      <w:tblGrid>
        <w:gridCol w:w="5495"/>
        <w:gridCol w:w="1453"/>
        <w:gridCol w:w="1453"/>
        <w:gridCol w:w="1453"/>
        <w:gridCol w:w="1453"/>
        <w:gridCol w:w="1453"/>
      </w:tblGrid>
      <w:tr w:rsidR="00B83890" w:rsidTr="0093396F">
        <w:trPr>
          <w:tblHeader/>
        </w:trPr>
        <w:tc>
          <w:tcPr>
            <w:tcW w:w="5495" w:type="dxa"/>
          </w:tcPr>
          <w:p w:rsidR="00B83890" w:rsidRDefault="00B83890" w:rsidP="006E6DC8">
            <w:pPr>
              <w:pStyle w:val="Heading4"/>
              <w:jc w:val="right"/>
              <w:rPr>
                <w:b w:val="0"/>
              </w:rPr>
            </w:pPr>
          </w:p>
        </w:tc>
        <w:tc>
          <w:tcPr>
            <w:tcW w:w="1453" w:type="dxa"/>
            <w:shd w:val="clear" w:color="000000" w:fill="CCCCCC"/>
          </w:tcPr>
          <w:p w:rsidR="00B83890" w:rsidRDefault="00B83890" w:rsidP="006E6DC8">
            <w:pPr>
              <w:jc w:val="right"/>
              <w:rPr>
                <w:b/>
              </w:rPr>
            </w:pPr>
            <w:r>
              <w:rPr>
                <w:b/>
              </w:rPr>
              <w:t>2012–13</w:t>
            </w:r>
          </w:p>
        </w:tc>
        <w:tc>
          <w:tcPr>
            <w:tcW w:w="1453" w:type="dxa"/>
            <w:shd w:val="clear" w:color="000000" w:fill="E0E0E0"/>
          </w:tcPr>
          <w:p w:rsidR="00B83890" w:rsidRDefault="00B83890" w:rsidP="006E6DC8">
            <w:pPr>
              <w:jc w:val="right"/>
              <w:rPr>
                <w:b/>
              </w:rPr>
            </w:pPr>
            <w:r>
              <w:rPr>
                <w:b/>
              </w:rPr>
              <w:t>2011–12</w:t>
            </w:r>
          </w:p>
        </w:tc>
        <w:tc>
          <w:tcPr>
            <w:tcW w:w="1453" w:type="dxa"/>
            <w:shd w:val="clear" w:color="000000" w:fill="E0E0E0"/>
          </w:tcPr>
          <w:p w:rsidR="00B83890" w:rsidRDefault="00B83890" w:rsidP="006E6DC8">
            <w:pPr>
              <w:jc w:val="right"/>
              <w:rPr>
                <w:b/>
              </w:rPr>
            </w:pPr>
            <w:r>
              <w:rPr>
                <w:b/>
              </w:rPr>
              <w:t>2010–11</w:t>
            </w:r>
          </w:p>
        </w:tc>
        <w:tc>
          <w:tcPr>
            <w:tcW w:w="1453" w:type="dxa"/>
            <w:tcBorders>
              <w:top w:val="nil"/>
            </w:tcBorders>
            <w:shd w:val="clear" w:color="000000" w:fill="E0E0E0"/>
          </w:tcPr>
          <w:p w:rsidR="00B83890" w:rsidRDefault="00B83890" w:rsidP="006E6DC8">
            <w:pPr>
              <w:jc w:val="right"/>
              <w:rPr>
                <w:b/>
              </w:rPr>
            </w:pPr>
            <w:r>
              <w:rPr>
                <w:b/>
              </w:rPr>
              <w:t>2009–10</w:t>
            </w:r>
          </w:p>
        </w:tc>
        <w:tc>
          <w:tcPr>
            <w:tcW w:w="1453" w:type="dxa"/>
            <w:tcBorders>
              <w:top w:val="nil"/>
            </w:tcBorders>
            <w:shd w:val="clear" w:color="000000" w:fill="E0E0E0"/>
          </w:tcPr>
          <w:p w:rsidR="00B83890" w:rsidRDefault="00B83890" w:rsidP="006E6DC8">
            <w:pPr>
              <w:jc w:val="right"/>
              <w:rPr>
                <w:b/>
              </w:rPr>
            </w:pPr>
            <w:r>
              <w:rPr>
                <w:b/>
              </w:rPr>
              <w:t>2008–09</w:t>
            </w:r>
          </w:p>
        </w:tc>
      </w:tr>
      <w:tr w:rsidR="00B83890" w:rsidTr="006E6DC8">
        <w:tc>
          <w:tcPr>
            <w:tcW w:w="5495" w:type="dxa"/>
          </w:tcPr>
          <w:p w:rsidR="00B83890" w:rsidRDefault="00B83890" w:rsidP="006E6DC8">
            <w:pPr>
              <w:rPr>
                <w:snapToGrid w:val="0"/>
                <w:color w:val="000000"/>
                <w:lang w:eastAsia="en-US"/>
              </w:rPr>
            </w:pPr>
            <w:r>
              <w:rPr>
                <w:snapToGrid w:val="0"/>
                <w:color w:val="000000"/>
                <w:lang w:eastAsia="en-US"/>
              </w:rPr>
              <w:t>Collection stored to industry standard</w:t>
            </w:r>
          </w:p>
        </w:tc>
        <w:tc>
          <w:tcPr>
            <w:tcW w:w="1453" w:type="dxa"/>
            <w:shd w:val="clear" w:color="000000" w:fill="CCCCCC"/>
          </w:tcPr>
          <w:p w:rsidR="00B83890" w:rsidRDefault="00B83890" w:rsidP="006E6DC8">
            <w:pPr>
              <w:jc w:val="right"/>
              <w:rPr>
                <w:snapToGrid w:val="0"/>
                <w:color w:val="000000"/>
                <w:lang w:eastAsia="en-US"/>
              </w:rPr>
            </w:pPr>
            <w:r>
              <w:rPr>
                <w:snapToGrid w:val="0"/>
                <w:color w:val="000000"/>
                <w:lang w:eastAsia="en-US"/>
              </w:rPr>
              <w:t>75%</w:t>
            </w:r>
          </w:p>
        </w:tc>
        <w:tc>
          <w:tcPr>
            <w:tcW w:w="1453" w:type="dxa"/>
            <w:shd w:val="clear" w:color="000000" w:fill="E0E0E0"/>
          </w:tcPr>
          <w:p w:rsidR="00B83890" w:rsidRPr="0008130F" w:rsidRDefault="00B83890" w:rsidP="006E6DC8">
            <w:pPr>
              <w:jc w:val="right"/>
              <w:rPr>
                <w:rFonts w:cs="Arial"/>
                <w:snapToGrid w:val="0"/>
                <w:lang w:eastAsia="en-US"/>
              </w:rPr>
            </w:pPr>
            <w:r w:rsidRPr="0008130F">
              <w:rPr>
                <w:rFonts w:cs="Arial"/>
                <w:snapToGrid w:val="0"/>
                <w:lang w:eastAsia="en-US"/>
              </w:rPr>
              <w:t>77%</w:t>
            </w:r>
          </w:p>
        </w:tc>
        <w:tc>
          <w:tcPr>
            <w:tcW w:w="1453" w:type="dxa"/>
            <w:shd w:val="clear" w:color="000000" w:fill="E0E0E0"/>
          </w:tcPr>
          <w:p w:rsidR="00B83890" w:rsidRDefault="00B83890" w:rsidP="006E6DC8">
            <w:pPr>
              <w:jc w:val="right"/>
              <w:rPr>
                <w:snapToGrid w:val="0"/>
                <w:color w:val="000000"/>
                <w:lang w:eastAsia="en-US"/>
              </w:rPr>
            </w:pPr>
            <w:r>
              <w:rPr>
                <w:snapToGrid w:val="0"/>
                <w:color w:val="000000"/>
                <w:lang w:eastAsia="en-US"/>
              </w:rPr>
              <w:t>79%</w:t>
            </w:r>
          </w:p>
        </w:tc>
        <w:tc>
          <w:tcPr>
            <w:tcW w:w="1453" w:type="dxa"/>
            <w:tcBorders>
              <w:top w:val="single" w:sz="4" w:space="0" w:color="808080"/>
              <w:bottom w:val="single" w:sz="4" w:space="0" w:color="808080"/>
            </w:tcBorders>
            <w:shd w:val="clear" w:color="000000" w:fill="E0E0E0"/>
          </w:tcPr>
          <w:p w:rsidR="00B83890" w:rsidRDefault="00B83890" w:rsidP="006E6DC8">
            <w:pPr>
              <w:jc w:val="right"/>
              <w:rPr>
                <w:snapToGrid w:val="0"/>
                <w:color w:val="000000"/>
                <w:lang w:eastAsia="en-US"/>
              </w:rPr>
            </w:pPr>
            <w:r>
              <w:rPr>
                <w:snapToGrid w:val="0"/>
                <w:color w:val="000000"/>
                <w:lang w:eastAsia="en-US"/>
              </w:rPr>
              <w:t>81%</w:t>
            </w:r>
          </w:p>
        </w:tc>
        <w:tc>
          <w:tcPr>
            <w:tcW w:w="1453" w:type="dxa"/>
            <w:tcBorders>
              <w:top w:val="single" w:sz="4" w:space="0" w:color="808080"/>
              <w:bottom w:val="single" w:sz="4" w:space="0" w:color="808080"/>
            </w:tcBorders>
            <w:shd w:val="clear" w:color="000000" w:fill="E0E0E0"/>
          </w:tcPr>
          <w:p w:rsidR="00B83890" w:rsidRDefault="00B83890" w:rsidP="006E6DC8">
            <w:pPr>
              <w:jc w:val="right"/>
              <w:rPr>
                <w:snapToGrid w:val="0"/>
                <w:color w:val="000000"/>
                <w:lang w:eastAsia="en-US"/>
              </w:rPr>
            </w:pPr>
            <w:r>
              <w:rPr>
                <w:snapToGrid w:val="0"/>
                <w:color w:val="000000"/>
                <w:lang w:eastAsia="en-US"/>
              </w:rPr>
              <w:t>82%</w:t>
            </w:r>
          </w:p>
        </w:tc>
      </w:tr>
      <w:tr w:rsidR="00B83890" w:rsidTr="006E6DC8">
        <w:tc>
          <w:tcPr>
            <w:tcW w:w="5495" w:type="dxa"/>
          </w:tcPr>
          <w:p w:rsidR="00B83890" w:rsidRDefault="00B83890" w:rsidP="006E6DC8">
            <w:pPr>
              <w:rPr>
                <w:snapToGrid w:val="0"/>
                <w:color w:val="000000"/>
                <w:lang w:eastAsia="en-US"/>
              </w:rPr>
            </w:pPr>
            <w:r>
              <w:rPr>
                <w:snapToGrid w:val="0"/>
                <w:color w:val="000000"/>
                <w:lang w:eastAsia="en-US"/>
              </w:rPr>
              <w:t>Visitors satisfied with visit overall</w:t>
            </w:r>
          </w:p>
        </w:tc>
        <w:tc>
          <w:tcPr>
            <w:tcW w:w="1453" w:type="dxa"/>
            <w:shd w:val="clear" w:color="000000" w:fill="CCCCCC"/>
          </w:tcPr>
          <w:p w:rsidR="00B83890" w:rsidRDefault="00B83890" w:rsidP="006E6DC8">
            <w:pPr>
              <w:jc w:val="right"/>
              <w:rPr>
                <w:snapToGrid w:val="0"/>
                <w:color w:val="000000"/>
                <w:lang w:eastAsia="en-US"/>
              </w:rPr>
            </w:pPr>
            <w:r>
              <w:rPr>
                <w:snapToGrid w:val="0"/>
                <w:color w:val="000000"/>
                <w:lang w:eastAsia="en-US"/>
              </w:rPr>
              <w:t>93%</w:t>
            </w:r>
          </w:p>
        </w:tc>
        <w:tc>
          <w:tcPr>
            <w:tcW w:w="1453" w:type="dxa"/>
            <w:shd w:val="clear" w:color="000000" w:fill="E0E0E0"/>
          </w:tcPr>
          <w:p w:rsidR="00B83890" w:rsidRPr="0008130F" w:rsidRDefault="00B83890" w:rsidP="006E6DC8">
            <w:pPr>
              <w:jc w:val="right"/>
              <w:rPr>
                <w:rFonts w:cs="Arial"/>
                <w:snapToGrid w:val="0"/>
                <w:lang w:eastAsia="en-US"/>
              </w:rPr>
            </w:pPr>
            <w:r w:rsidRPr="0008130F">
              <w:rPr>
                <w:rFonts w:cs="Arial"/>
                <w:snapToGrid w:val="0"/>
                <w:lang w:eastAsia="en-US"/>
              </w:rPr>
              <w:t>89%</w:t>
            </w:r>
          </w:p>
        </w:tc>
        <w:tc>
          <w:tcPr>
            <w:tcW w:w="1453" w:type="dxa"/>
            <w:shd w:val="clear" w:color="000000" w:fill="E0E0E0"/>
          </w:tcPr>
          <w:p w:rsidR="00B83890" w:rsidRDefault="00B83890" w:rsidP="006E6DC8">
            <w:pPr>
              <w:jc w:val="right"/>
              <w:rPr>
                <w:snapToGrid w:val="0"/>
                <w:color w:val="000000"/>
                <w:lang w:eastAsia="en-US"/>
              </w:rPr>
            </w:pPr>
            <w:r>
              <w:rPr>
                <w:snapToGrid w:val="0"/>
                <w:color w:val="000000"/>
                <w:lang w:eastAsia="en-US"/>
              </w:rPr>
              <w:t>93%</w:t>
            </w:r>
          </w:p>
        </w:tc>
        <w:tc>
          <w:tcPr>
            <w:tcW w:w="1453" w:type="dxa"/>
            <w:tcBorders>
              <w:top w:val="single" w:sz="4" w:space="0" w:color="808080"/>
              <w:bottom w:val="single" w:sz="4" w:space="0" w:color="808080"/>
            </w:tcBorders>
            <w:shd w:val="clear" w:color="000000" w:fill="E0E0E0"/>
          </w:tcPr>
          <w:p w:rsidR="00B83890" w:rsidRDefault="00B83890" w:rsidP="006E6DC8">
            <w:pPr>
              <w:jc w:val="right"/>
              <w:rPr>
                <w:snapToGrid w:val="0"/>
                <w:color w:val="000000"/>
                <w:lang w:eastAsia="en-US"/>
              </w:rPr>
            </w:pPr>
            <w:r>
              <w:rPr>
                <w:snapToGrid w:val="0"/>
                <w:color w:val="000000"/>
                <w:lang w:eastAsia="en-US"/>
              </w:rPr>
              <w:t>94%</w:t>
            </w:r>
          </w:p>
        </w:tc>
        <w:tc>
          <w:tcPr>
            <w:tcW w:w="1453" w:type="dxa"/>
            <w:tcBorders>
              <w:top w:val="single" w:sz="4" w:space="0" w:color="808080"/>
              <w:bottom w:val="single" w:sz="4" w:space="0" w:color="808080"/>
            </w:tcBorders>
            <w:shd w:val="clear" w:color="000000" w:fill="E0E0E0"/>
          </w:tcPr>
          <w:p w:rsidR="00B83890" w:rsidRDefault="00B83890" w:rsidP="006E6DC8">
            <w:pPr>
              <w:jc w:val="right"/>
              <w:rPr>
                <w:snapToGrid w:val="0"/>
                <w:color w:val="000000"/>
                <w:lang w:eastAsia="en-US"/>
              </w:rPr>
            </w:pPr>
            <w:r>
              <w:rPr>
                <w:snapToGrid w:val="0"/>
                <w:color w:val="000000"/>
                <w:lang w:eastAsia="en-US"/>
              </w:rPr>
              <w:t>93%</w:t>
            </w:r>
          </w:p>
        </w:tc>
      </w:tr>
      <w:tr w:rsidR="00B83890" w:rsidTr="006E6DC8">
        <w:tc>
          <w:tcPr>
            <w:tcW w:w="5495" w:type="dxa"/>
          </w:tcPr>
          <w:p w:rsidR="00B83890" w:rsidRDefault="00B83890" w:rsidP="006E6DC8">
            <w:pPr>
              <w:rPr>
                <w:snapToGrid w:val="0"/>
                <w:color w:val="000000"/>
                <w:lang w:eastAsia="en-US"/>
              </w:rPr>
            </w:pPr>
            <w:r>
              <w:rPr>
                <w:snapToGrid w:val="0"/>
                <w:color w:val="000000"/>
                <w:lang w:eastAsia="en-US"/>
              </w:rPr>
              <w:t>Students participating in education programs</w:t>
            </w:r>
          </w:p>
        </w:tc>
        <w:tc>
          <w:tcPr>
            <w:tcW w:w="1453" w:type="dxa"/>
            <w:shd w:val="clear" w:color="000000" w:fill="CCCCCC"/>
          </w:tcPr>
          <w:p w:rsidR="00B83890" w:rsidRDefault="00B83890" w:rsidP="006E6DC8">
            <w:pPr>
              <w:jc w:val="right"/>
              <w:rPr>
                <w:snapToGrid w:val="0"/>
                <w:color w:val="000000"/>
                <w:lang w:eastAsia="en-US"/>
              </w:rPr>
            </w:pPr>
            <w:r>
              <w:rPr>
                <w:snapToGrid w:val="0"/>
                <w:color w:val="000000"/>
                <w:lang w:eastAsia="en-US"/>
              </w:rPr>
              <w:t>256,329</w:t>
            </w:r>
          </w:p>
        </w:tc>
        <w:tc>
          <w:tcPr>
            <w:tcW w:w="1453" w:type="dxa"/>
            <w:shd w:val="clear" w:color="000000" w:fill="E0E0E0"/>
          </w:tcPr>
          <w:p w:rsidR="00B83890" w:rsidRPr="0008130F" w:rsidRDefault="00B83890" w:rsidP="006E6DC8">
            <w:pPr>
              <w:jc w:val="right"/>
              <w:rPr>
                <w:rFonts w:cs="Arial"/>
                <w:snapToGrid w:val="0"/>
                <w:lang w:eastAsia="en-US"/>
              </w:rPr>
            </w:pPr>
            <w:r w:rsidRPr="0008130F">
              <w:rPr>
                <w:rFonts w:cs="Arial"/>
                <w:snapToGrid w:val="0"/>
                <w:lang w:eastAsia="en-US"/>
              </w:rPr>
              <w:t>290,538</w:t>
            </w:r>
          </w:p>
        </w:tc>
        <w:tc>
          <w:tcPr>
            <w:tcW w:w="1453" w:type="dxa"/>
            <w:shd w:val="clear" w:color="000000" w:fill="E0E0E0"/>
          </w:tcPr>
          <w:p w:rsidR="00B83890" w:rsidRDefault="00B83890" w:rsidP="006E6DC8">
            <w:pPr>
              <w:jc w:val="right"/>
              <w:rPr>
                <w:snapToGrid w:val="0"/>
                <w:color w:val="000000"/>
                <w:lang w:eastAsia="en-US"/>
              </w:rPr>
            </w:pPr>
            <w:r>
              <w:rPr>
                <w:snapToGrid w:val="0"/>
                <w:color w:val="000000"/>
                <w:lang w:eastAsia="en-US"/>
              </w:rPr>
              <w:t>310,170</w:t>
            </w:r>
          </w:p>
        </w:tc>
        <w:tc>
          <w:tcPr>
            <w:tcW w:w="1453" w:type="dxa"/>
            <w:tcBorders>
              <w:top w:val="single" w:sz="4" w:space="0" w:color="808080"/>
              <w:bottom w:val="single" w:sz="4" w:space="0" w:color="808080"/>
            </w:tcBorders>
            <w:shd w:val="clear" w:color="000000" w:fill="E0E0E0"/>
          </w:tcPr>
          <w:p w:rsidR="00B83890" w:rsidRDefault="00B83890" w:rsidP="006E6DC8">
            <w:pPr>
              <w:jc w:val="right"/>
              <w:rPr>
                <w:snapToGrid w:val="0"/>
                <w:color w:val="000000"/>
                <w:lang w:eastAsia="en-US"/>
              </w:rPr>
            </w:pPr>
            <w:r>
              <w:rPr>
                <w:snapToGrid w:val="0"/>
                <w:color w:val="000000"/>
                <w:lang w:eastAsia="en-US"/>
              </w:rPr>
              <w:t>315,389</w:t>
            </w:r>
          </w:p>
        </w:tc>
        <w:tc>
          <w:tcPr>
            <w:tcW w:w="1453" w:type="dxa"/>
            <w:tcBorders>
              <w:top w:val="single" w:sz="4" w:space="0" w:color="808080"/>
              <w:bottom w:val="single" w:sz="4" w:space="0" w:color="808080"/>
            </w:tcBorders>
            <w:shd w:val="clear" w:color="000000" w:fill="E0E0E0"/>
          </w:tcPr>
          <w:p w:rsidR="00B83890" w:rsidRDefault="00B83890" w:rsidP="006E6DC8">
            <w:pPr>
              <w:jc w:val="right"/>
              <w:rPr>
                <w:snapToGrid w:val="0"/>
                <w:color w:val="000000"/>
                <w:lang w:eastAsia="en-US"/>
              </w:rPr>
            </w:pPr>
            <w:r>
              <w:rPr>
                <w:snapToGrid w:val="0"/>
                <w:color w:val="000000"/>
                <w:lang w:eastAsia="en-US"/>
              </w:rPr>
              <w:t>270,497</w:t>
            </w:r>
          </w:p>
        </w:tc>
      </w:tr>
      <w:tr w:rsidR="00B83890" w:rsidTr="006E6DC8">
        <w:tc>
          <w:tcPr>
            <w:tcW w:w="5495" w:type="dxa"/>
          </w:tcPr>
          <w:p w:rsidR="00B83890" w:rsidRDefault="00B83890" w:rsidP="006E6DC8">
            <w:pPr>
              <w:rPr>
                <w:snapToGrid w:val="0"/>
                <w:color w:val="000000"/>
                <w:lang w:eastAsia="en-US"/>
              </w:rPr>
            </w:pPr>
            <w:r>
              <w:rPr>
                <w:snapToGrid w:val="0"/>
                <w:color w:val="000000"/>
                <w:lang w:eastAsia="en-US"/>
              </w:rPr>
              <w:t>Volunteer hours</w:t>
            </w:r>
          </w:p>
        </w:tc>
        <w:tc>
          <w:tcPr>
            <w:tcW w:w="1453" w:type="dxa"/>
            <w:shd w:val="clear" w:color="000000" w:fill="CCCCCC"/>
          </w:tcPr>
          <w:p w:rsidR="00B83890" w:rsidRDefault="00B83890" w:rsidP="006E6DC8">
            <w:pPr>
              <w:jc w:val="right"/>
              <w:rPr>
                <w:snapToGrid w:val="0"/>
                <w:color w:val="000000"/>
                <w:lang w:eastAsia="en-US"/>
              </w:rPr>
            </w:pPr>
            <w:r>
              <w:rPr>
                <w:snapToGrid w:val="0"/>
                <w:color w:val="000000"/>
                <w:lang w:eastAsia="en-US"/>
              </w:rPr>
              <w:t>49,908</w:t>
            </w:r>
          </w:p>
        </w:tc>
        <w:tc>
          <w:tcPr>
            <w:tcW w:w="1453" w:type="dxa"/>
            <w:shd w:val="clear" w:color="000000" w:fill="E0E0E0"/>
          </w:tcPr>
          <w:p w:rsidR="00B83890" w:rsidRPr="0008130F" w:rsidRDefault="00B83890" w:rsidP="006E6DC8">
            <w:pPr>
              <w:jc w:val="right"/>
              <w:rPr>
                <w:rFonts w:cs="Arial"/>
                <w:snapToGrid w:val="0"/>
                <w:lang w:eastAsia="en-US"/>
              </w:rPr>
            </w:pPr>
            <w:r w:rsidRPr="0008130F">
              <w:rPr>
                <w:rFonts w:cs="Arial"/>
                <w:snapToGrid w:val="0"/>
                <w:lang w:eastAsia="en-US"/>
              </w:rPr>
              <w:t>50,399</w:t>
            </w:r>
          </w:p>
        </w:tc>
        <w:tc>
          <w:tcPr>
            <w:tcW w:w="1453" w:type="dxa"/>
            <w:shd w:val="clear" w:color="000000" w:fill="E0E0E0"/>
          </w:tcPr>
          <w:p w:rsidR="00B83890" w:rsidRDefault="00B83890" w:rsidP="006E6DC8">
            <w:pPr>
              <w:jc w:val="right"/>
              <w:rPr>
                <w:snapToGrid w:val="0"/>
                <w:color w:val="000000"/>
                <w:lang w:eastAsia="en-US"/>
              </w:rPr>
            </w:pPr>
            <w:r>
              <w:rPr>
                <w:snapToGrid w:val="0"/>
                <w:color w:val="000000"/>
                <w:lang w:eastAsia="en-US"/>
              </w:rPr>
              <w:t>50,120</w:t>
            </w:r>
          </w:p>
        </w:tc>
        <w:tc>
          <w:tcPr>
            <w:tcW w:w="1453" w:type="dxa"/>
            <w:tcBorders>
              <w:top w:val="single" w:sz="4" w:space="0" w:color="808080"/>
              <w:bottom w:val="single" w:sz="4" w:space="0" w:color="808080"/>
            </w:tcBorders>
            <w:shd w:val="clear" w:color="000000" w:fill="E0E0E0"/>
          </w:tcPr>
          <w:p w:rsidR="00B83890" w:rsidRDefault="00B83890" w:rsidP="006E6DC8">
            <w:pPr>
              <w:jc w:val="right"/>
              <w:rPr>
                <w:snapToGrid w:val="0"/>
                <w:color w:val="000000"/>
                <w:lang w:eastAsia="en-US"/>
              </w:rPr>
            </w:pPr>
            <w:r>
              <w:rPr>
                <w:snapToGrid w:val="0"/>
                <w:color w:val="000000"/>
                <w:lang w:eastAsia="en-US"/>
              </w:rPr>
              <w:t>52,639</w:t>
            </w:r>
          </w:p>
        </w:tc>
        <w:tc>
          <w:tcPr>
            <w:tcW w:w="1453" w:type="dxa"/>
            <w:tcBorders>
              <w:top w:val="single" w:sz="4" w:space="0" w:color="808080"/>
              <w:bottom w:val="single" w:sz="4" w:space="0" w:color="808080"/>
            </w:tcBorders>
            <w:shd w:val="clear" w:color="000000" w:fill="E0E0E0"/>
          </w:tcPr>
          <w:p w:rsidR="00B83890" w:rsidRDefault="00B83890" w:rsidP="006E6DC8">
            <w:pPr>
              <w:jc w:val="right"/>
              <w:rPr>
                <w:snapToGrid w:val="0"/>
                <w:color w:val="000000"/>
                <w:lang w:eastAsia="en-US"/>
              </w:rPr>
            </w:pPr>
            <w:r>
              <w:rPr>
                <w:snapToGrid w:val="0"/>
                <w:color w:val="000000"/>
                <w:lang w:eastAsia="en-US"/>
              </w:rPr>
              <w:t>52,311</w:t>
            </w:r>
          </w:p>
        </w:tc>
      </w:tr>
      <w:tr w:rsidR="00B83890" w:rsidTr="006E6DC8">
        <w:tc>
          <w:tcPr>
            <w:tcW w:w="5495" w:type="dxa"/>
          </w:tcPr>
          <w:p w:rsidR="00B83890" w:rsidRDefault="00B83890" w:rsidP="006E6DC8">
            <w:pPr>
              <w:rPr>
                <w:snapToGrid w:val="0"/>
                <w:color w:val="000000"/>
                <w:lang w:eastAsia="en-US"/>
              </w:rPr>
            </w:pPr>
            <w:r>
              <w:rPr>
                <w:snapToGrid w:val="0"/>
                <w:color w:val="000000"/>
                <w:lang w:eastAsia="en-US"/>
              </w:rPr>
              <w:t>Memberships</w:t>
            </w:r>
          </w:p>
        </w:tc>
        <w:tc>
          <w:tcPr>
            <w:tcW w:w="1453" w:type="dxa"/>
            <w:shd w:val="clear" w:color="000000" w:fill="CCCCCC"/>
          </w:tcPr>
          <w:p w:rsidR="00B83890" w:rsidRDefault="00B83890" w:rsidP="006E6DC8">
            <w:pPr>
              <w:jc w:val="right"/>
              <w:rPr>
                <w:snapToGrid w:val="0"/>
                <w:color w:val="000000"/>
                <w:lang w:eastAsia="en-US"/>
              </w:rPr>
            </w:pPr>
            <w:r>
              <w:rPr>
                <w:snapToGrid w:val="0"/>
                <w:color w:val="000000"/>
                <w:lang w:eastAsia="en-US"/>
              </w:rPr>
              <w:t>16,165</w:t>
            </w:r>
          </w:p>
        </w:tc>
        <w:tc>
          <w:tcPr>
            <w:tcW w:w="1453" w:type="dxa"/>
            <w:shd w:val="clear" w:color="000000" w:fill="E0E0E0"/>
          </w:tcPr>
          <w:p w:rsidR="00B83890" w:rsidRPr="0008130F" w:rsidRDefault="00B83890" w:rsidP="006E6DC8">
            <w:pPr>
              <w:jc w:val="right"/>
              <w:rPr>
                <w:rFonts w:cs="Arial"/>
                <w:snapToGrid w:val="0"/>
                <w:lang w:eastAsia="en-US"/>
              </w:rPr>
            </w:pPr>
            <w:r w:rsidRPr="0008130F">
              <w:rPr>
                <w:rFonts w:cs="Arial"/>
                <w:snapToGrid w:val="0"/>
                <w:lang w:eastAsia="en-US"/>
              </w:rPr>
              <w:t>15,576</w:t>
            </w:r>
          </w:p>
        </w:tc>
        <w:tc>
          <w:tcPr>
            <w:tcW w:w="1453" w:type="dxa"/>
            <w:shd w:val="clear" w:color="000000" w:fill="E0E0E0"/>
          </w:tcPr>
          <w:p w:rsidR="00B83890" w:rsidRDefault="00B83890" w:rsidP="006E6DC8">
            <w:pPr>
              <w:jc w:val="right"/>
              <w:rPr>
                <w:snapToGrid w:val="0"/>
                <w:color w:val="000000"/>
                <w:lang w:eastAsia="en-US"/>
              </w:rPr>
            </w:pPr>
            <w:r>
              <w:rPr>
                <w:snapToGrid w:val="0"/>
                <w:color w:val="000000"/>
                <w:lang w:eastAsia="en-US"/>
              </w:rPr>
              <w:t>11,676</w:t>
            </w:r>
          </w:p>
        </w:tc>
        <w:tc>
          <w:tcPr>
            <w:tcW w:w="1453" w:type="dxa"/>
            <w:tcBorders>
              <w:top w:val="single" w:sz="4" w:space="0" w:color="808080"/>
              <w:bottom w:val="single" w:sz="4" w:space="0" w:color="808080"/>
            </w:tcBorders>
            <w:shd w:val="clear" w:color="000000" w:fill="E0E0E0"/>
          </w:tcPr>
          <w:p w:rsidR="00B83890" w:rsidRDefault="00B83890" w:rsidP="006E6DC8">
            <w:pPr>
              <w:jc w:val="right"/>
              <w:rPr>
                <w:rFonts w:cs="Arial"/>
              </w:rPr>
            </w:pPr>
            <w:r>
              <w:rPr>
                <w:rFonts w:cs="Arial"/>
              </w:rPr>
              <w:t>12,559</w:t>
            </w:r>
          </w:p>
        </w:tc>
        <w:tc>
          <w:tcPr>
            <w:tcW w:w="1453" w:type="dxa"/>
            <w:tcBorders>
              <w:top w:val="single" w:sz="4" w:space="0" w:color="808080"/>
              <w:bottom w:val="single" w:sz="4" w:space="0" w:color="808080"/>
            </w:tcBorders>
            <w:shd w:val="clear" w:color="000000" w:fill="E0E0E0"/>
          </w:tcPr>
          <w:p w:rsidR="00B83890" w:rsidRDefault="00B83890" w:rsidP="006E6DC8">
            <w:pPr>
              <w:jc w:val="right"/>
              <w:rPr>
                <w:rFonts w:cs="Arial"/>
              </w:rPr>
            </w:pPr>
            <w:r>
              <w:rPr>
                <w:rFonts w:cs="Arial"/>
              </w:rPr>
              <w:t>10,247</w:t>
            </w:r>
          </w:p>
        </w:tc>
      </w:tr>
    </w:tbl>
    <w:p w:rsidR="00B83890" w:rsidRDefault="00B83890" w:rsidP="00751B3E"/>
    <w:p w:rsidR="00B83890" w:rsidRDefault="00B83890" w:rsidP="00751B3E">
      <w:r>
        <w:t>Notes:</w:t>
      </w:r>
    </w:p>
    <w:p w:rsidR="00B83890" w:rsidRDefault="00B83890" w:rsidP="00751B3E">
      <w:pPr>
        <w:rPr>
          <w:highlight w:val="yellow"/>
        </w:rPr>
      </w:pPr>
      <w:r w:rsidRPr="000A07AE">
        <w:t xml:space="preserve">The </w:t>
      </w:r>
      <w:r>
        <w:t>collection indicator results r</w:t>
      </w:r>
      <w:r w:rsidRPr="000A07AE">
        <w:t>eflect the fact that the Museum Victoria collection grows by an average of 1% per annum and our storage capacity has not increased</w:t>
      </w:r>
      <w:r>
        <w:t>, which has</w:t>
      </w:r>
      <w:r w:rsidRPr="000A07AE">
        <w:t xml:space="preserve"> a multiplier effect on the condition of the collection.</w:t>
      </w:r>
      <w:r w:rsidRPr="000A07AE">
        <w:rPr>
          <w:highlight w:val="yellow"/>
        </w:rPr>
        <w:t xml:space="preserve"> </w:t>
      </w:r>
    </w:p>
    <w:p w:rsidR="00B83890" w:rsidRPr="00CD0A50" w:rsidRDefault="00B83890" w:rsidP="00751B3E">
      <w:r w:rsidRPr="000A07AE">
        <w:t xml:space="preserve">Closure of exhibition spaces during </w:t>
      </w:r>
      <w:r>
        <w:t>2012–13</w:t>
      </w:r>
      <w:r w:rsidRPr="000A07AE">
        <w:t xml:space="preserve"> for redevelopment impacted on the education visitation result.</w:t>
      </w:r>
    </w:p>
    <w:p w:rsidR="00B83890" w:rsidRDefault="00B83890" w:rsidP="00751B3E"/>
    <w:p w:rsidR="00B83890" w:rsidRDefault="00B83890" w:rsidP="00751B3E"/>
    <w:p w:rsidR="00B83890" w:rsidRDefault="00B83890" w:rsidP="00B83890">
      <w:pPr>
        <w:pStyle w:val="Heading2"/>
      </w:pPr>
      <w:r w:rsidRPr="00AA34E8">
        <w:t>Financial Summary</w:t>
      </w:r>
    </w:p>
    <w:tbl>
      <w:tblPr>
        <w:tblW w:w="12760" w:type="dxa"/>
        <w:tblBorders>
          <w:bottom w:val="single" w:sz="4" w:space="0" w:color="808080"/>
          <w:insideH w:val="single" w:sz="4" w:space="0" w:color="808080"/>
        </w:tblBorders>
        <w:tblLayout w:type="fixed"/>
        <w:tblLook w:val="0000" w:firstRow="0" w:lastRow="0" w:firstColumn="0" w:lastColumn="0" w:noHBand="0" w:noVBand="0"/>
        <w:tblCaption w:val="Financial Summary"/>
        <w:tblDescription w:val="Financial results summary for 2012–13 and for prior years."/>
      </w:tblPr>
      <w:tblGrid>
        <w:gridCol w:w="5495"/>
        <w:gridCol w:w="1453"/>
        <w:gridCol w:w="1453"/>
        <w:gridCol w:w="1453"/>
        <w:gridCol w:w="1453"/>
        <w:gridCol w:w="1453"/>
      </w:tblGrid>
      <w:tr w:rsidR="00B83890" w:rsidRPr="00AA34E8" w:rsidTr="0093396F">
        <w:trPr>
          <w:tblHeader/>
        </w:trPr>
        <w:tc>
          <w:tcPr>
            <w:tcW w:w="5495" w:type="dxa"/>
          </w:tcPr>
          <w:p w:rsidR="00B83890" w:rsidRPr="00AA34E8" w:rsidRDefault="00B83890" w:rsidP="006E6DC8">
            <w:pPr>
              <w:outlineLvl w:val="3"/>
            </w:pPr>
          </w:p>
        </w:tc>
        <w:tc>
          <w:tcPr>
            <w:tcW w:w="1453" w:type="dxa"/>
            <w:shd w:val="clear" w:color="000000" w:fill="C0C0C0"/>
          </w:tcPr>
          <w:p w:rsidR="00B83890" w:rsidRDefault="00B83890" w:rsidP="006E6DC8">
            <w:pPr>
              <w:jc w:val="right"/>
              <w:rPr>
                <w:b/>
              </w:rPr>
            </w:pPr>
            <w:r w:rsidRPr="00EA48F1">
              <w:rPr>
                <w:b/>
              </w:rPr>
              <w:t>2012–13</w:t>
            </w:r>
          </w:p>
          <w:p w:rsidR="00B83890" w:rsidRPr="00AA34E8" w:rsidRDefault="00B83890" w:rsidP="006E6DC8">
            <w:pPr>
              <w:jc w:val="right"/>
              <w:rPr>
                <w:highlight w:val="yellow"/>
              </w:rPr>
            </w:pPr>
            <w:r w:rsidRPr="00AA34E8">
              <w:t>$’000</w:t>
            </w:r>
          </w:p>
        </w:tc>
        <w:tc>
          <w:tcPr>
            <w:tcW w:w="1453" w:type="dxa"/>
            <w:shd w:val="clear" w:color="000000" w:fill="E0E0E0"/>
          </w:tcPr>
          <w:p w:rsidR="00B83890" w:rsidRPr="00AA34E8" w:rsidRDefault="00B83890" w:rsidP="006E6DC8">
            <w:pPr>
              <w:jc w:val="right"/>
              <w:rPr>
                <w:b/>
              </w:rPr>
            </w:pPr>
            <w:r w:rsidRPr="00AA34E8">
              <w:rPr>
                <w:b/>
              </w:rPr>
              <w:t>201</w:t>
            </w:r>
            <w:r>
              <w:rPr>
                <w:b/>
              </w:rPr>
              <w:t>1</w:t>
            </w:r>
            <w:r w:rsidRPr="00AA34E8">
              <w:rPr>
                <w:b/>
              </w:rPr>
              <w:t>–1</w:t>
            </w:r>
            <w:r>
              <w:rPr>
                <w:b/>
              </w:rPr>
              <w:t>2</w:t>
            </w:r>
          </w:p>
          <w:p w:rsidR="00B83890" w:rsidRPr="00AA34E8" w:rsidRDefault="00B83890" w:rsidP="006E6DC8">
            <w:pPr>
              <w:jc w:val="right"/>
              <w:rPr>
                <w:b/>
              </w:rPr>
            </w:pPr>
            <w:r w:rsidRPr="00AA34E8">
              <w:t>$’000</w:t>
            </w:r>
          </w:p>
        </w:tc>
        <w:tc>
          <w:tcPr>
            <w:tcW w:w="1453" w:type="dxa"/>
            <w:shd w:val="clear" w:color="000000" w:fill="E0E0E0"/>
          </w:tcPr>
          <w:p w:rsidR="00B83890" w:rsidRPr="00AA34E8" w:rsidRDefault="00B83890" w:rsidP="006E6DC8">
            <w:pPr>
              <w:jc w:val="right"/>
              <w:rPr>
                <w:b/>
              </w:rPr>
            </w:pPr>
            <w:r w:rsidRPr="00AA34E8">
              <w:rPr>
                <w:b/>
              </w:rPr>
              <w:t>2010–11</w:t>
            </w:r>
          </w:p>
          <w:p w:rsidR="00B83890" w:rsidRPr="00AA34E8" w:rsidRDefault="00B83890" w:rsidP="006E6DC8">
            <w:pPr>
              <w:jc w:val="right"/>
              <w:rPr>
                <w:b/>
              </w:rPr>
            </w:pPr>
            <w:r w:rsidRPr="00AA34E8">
              <w:t>$’000</w:t>
            </w:r>
          </w:p>
        </w:tc>
        <w:tc>
          <w:tcPr>
            <w:tcW w:w="1453" w:type="dxa"/>
            <w:tcBorders>
              <w:top w:val="nil"/>
            </w:tcBorders>
            <w:shd w:val="clear" w:color="000000" w:fill="E0E0E0"/>
          </w:tcPr>
          <w:p w:rsidR="00B83890" w:rsidRPr="00AA34E8" w:rsidRDefault="00B83890" w:rsidP="006E6DC8">
            <w:pPr>
              <w:jc w:val="right"/>
              <w:rPr>
                <w:b/>
              </w:rPr>
            </w:pPr>
            <w:r w:rsidRPr="00AA34E8">
              <w:rPr>
                <w:b/>
              </w:rPr>
              <w:t>2009–10</w:t>
            </w:r>
          </w:p>
          <w:p w:rsidR="00B83890" w:rsidRPr="00AA34E8" w:rsidRDefault="00B83890" w:rsidP="006E6DC8">
            <w:pPr>
              <w:jc w:val="right"/>
              <w:rPr>
                <w:b/>
              </w:rPr>
            </w:pPr>
            <w:r w:rsidRPr="00AA34E8">
              <w:t>$’000</w:t>
            </w:r>
          </w:p>
        </w:tc>
        <w:tc>
          <w:tcPr>
            <w:tcW w:w="1453" w:type="dxa"/>
            <w:tcBorders>
              <w:top w:val="nil"/>
            </w:tcBorders>
            <w:shd w:val="clear" w:color="000000" w:fill="E0E0E0"/>
          </w:tcPr>
          <w:p w:rsidR="00B83890" w:rsidRPr="00AA34E8" w:rsidRDefault="00B83890" w:rsidP="006E6DC8">
            <w:pPr>
              <w:jc w:val="right"/>
              <w:rPr>
                <w:b/>
              </w:rPr>
            </w:pPr>
            <w:r w:rsidRPr="00AA34E8">
              <w:rPr>
                <w:b/>
              </w:rPr>
              <w:t>2008–09</w:t>
            </w:r>
          </w:p>
          <w:p w:rsidR="00B83890" w:rsidRPr="00AA34E8" w:rsidRDefault="00B83890" w:rsidP="006E6DC8">
            <w:pPr>
              <w:jc w:val="right"/>
              <w:rPr>
                <w:b/>
              </w:rPr>
            </w:pPr>
            <w:r w:rsidRPr="00AA34E8">
              <w:t>$’000</w:t>
            </w:r>
          </w:p>
        </w:tc>
      </w:tr>
      <w:tr w:rsidR="00B83890" w:rsidRPr="00AA34E8" w:rsidTr="006E6DC8">
        <w:tc>
          <w:tcPr>
            <w:tcW w:w="5495" w:type="dxa"/>
          </w:tcPr>
          <w:p w:rsidR="00B83890" w:rsidRPr="00AA34E8" w:rsidRDefault="00B83890" w:rsidP="006E6DC8">
            <w:pPr>
              <w:rPr>
                <w:snapToGrid w:val="0"/>
                <w:lang w:eastAsia="en-US"/>
              </w:rPr>
            </w:pPr>
            <w:r w:rsidRPr="00AA34E8">
              <w:rPr>
                <w:snapToGrid w:val="0"/>
                <w:lang w:eastAsia="en-US"/>
              </w:rPr>
              <w:t>Revenue from government</w:t>
            </w:r>
          </w:p>
        </w:tc>
        <w:tc>
          <w:tcPr>
            <w:tcW w:w="1453" w:type="dxa"/>
            <w:shd w:val="clear" w:color="000000" w:fill="C0C0C0"/>
          </w:tcPr>
          <w:p w:rsidR="00B83890" w:rsidRPr="00AA34E8" w:rsidRDefault="00B83890" w:rsidP="006E6DC8">
            <w:pPr>
              <w:jc w:val="right"/>
              <w:rPr>
                <w:snapToGrid w:val="0"/>
                <w:lang w:eastAsia="en-US"/>
              </w:rPr>
            </w:pPr>
            <w:r>
              <w:rPr>
                <w:snapToGrid w:val="0"/>
                <w:lang w:eastAsia="en-US"/>
              </w:rPr>
              <w:t>84,701</w:t>
            </w:r>
          </w:p>
        </w:tc>
        <w:tc>
          <w:tcPr>
            <w:tcW w:w="1453" w:type="dxa"/>
            <w:shd w:val="clear" w:color="000000" w:fill="E0E0E0"/>
          </w:tcPr>
          <w:p w:rsidR="00B83890" w:rsidRPr="0008130F" w:rsidRDefault="00B83890" w:rsidP="006E6DC8">
            <w:pPr>
              <w:jc w:val="right"/>
              <w:rPr>
                <w:rFonts w:cs="Arial"/>
                <w:snapToGrid w:val="0"/>
                <w:lang w:eastAsia="en-US"/>
              </w:rPr>
            </w:pPr>
            <w:r w:rsidRPr="0008130F">
              <w:rPr>
                <w:rFonts w:cs="Arial"/>
                <w:snapToGrid w:val="0"/>
                <w:lang w:eastAsia="en-US"/>
              </w:rPr>
              <w:t>85,806</w:t>
            </w:r>
          </w:p>
        </w:tc>
        <w:tc>
          <w:tcPr>
            <w:tcW w:w="1453" w:type="dxa"/>
            <w:shd w:val="clear" w:color="000000" w:fill="E0E0E0"/>
          </w:tcPr>
          <w:p w:rsidR="00B83890" w:rsidRPr="00AA34E8" w:rsidRDefault="00B83890" w:rsidP="006E6DC8">
            <w:pPr>
              <w:jc w:val="right"/>
              <w:rPr>
                <w:snapToGrid w:val="0"/>
                <w:lang w:eastAsia="en-US"/>
              </w:rPr>
            </w:pPr>
            <w:r w:rsidRPr="00AA34E8">
              <w:rPr>
                <w:snapToGrid w:val="0"/>
                <w:lang w:eastAsia="en-US"/>
              </w:rPr>
              <w:t>88,314</w:t>
            </w:r>
          </w:p>
        </w:tc>
        <w:tc>
          <w:tcPr>
            <w:tcW w:w="1453" w:type="dxa"/>
            <w:tcBorders>
              <w:top w:val="single" w:sz="4" w:space="0" w:color="808080"/>
            </w:tcBorders>
            <w:shd w:val="clear" w:color="000000" w:fill="E0E0E0"/>
          </w:tcPr>
          <w:p w:rsidR="00B83890" w:rsidRPr="00AA34E8" w:rsidRDefault="00B83890" w:rsidP="006E6DC8">
            <w:pPr>
              <w:jc w:val="right"/>
              <w:rPr>
                <w:rFonts w:cs="Arial"/>
              </w:rPr>
            </w:pPr>
            <w:r w:rsidRPr="00AA34E8">
              <w:rPr>
                <w:rFonts w:cs="Arial"/>
              </w:rPr>
              <w:t>83,637</w:t>
            </w:r>
          </w:p>
        </w:tc>
        <w:tc>
          <w:tcPr>
            <w:tcW w:w="1453" w:type="dxa"/>
            <w:tcBorders>
              <w:top w:val="single" w:sz="4" w:space="0" w:color="808080"/>
            </w:tcBorders>
            <w:shd w:val="clear" w:color="000000" w:fill="E0E0E0"/>
          </w:tcPr>
          <w:p w:rsidR="00B83890" w:rsidRPr="00AA34E8" w:rsidRDefault="00B83890" w:rsidP="006E6DC8">
            <w:pPr>
              <w:jc w:val="right"/>
              <w:rPr>
                <w:rFonts w:cs="Arial"/>
              </w:rPr>
            </w:pPr>
            <w:r w:rsidRPr="00AA34E8">
              <w:rPr>
                <w:rFonts w:cs="Arial"/>
              </w:rPr>
              <w:t>83,497</w:t>
            </w:r>
          </w:p>
        </w:tc>
      </w:tr>
      <w:tr w:rsidR="00B83890" w:rsidRPr="00AA34E8" w:rsidTr="006E6DC8">
        <w:tc>
          <w:tcPr>
            <w:tcW w:w="5495" w:type="dxa"/>
          </w:tcPr>
          <w:p w:rsidR="00B83890" w:rsidRPr="00AA34E8" w:rsidRDefault="00B83890" w:rsidP="006E6DC8">
            <w:pPr>
              <w:rPr>
                <w:snapToGrid w:val="0"/>
                <w:lang w:eastAsia="en-US"/>
              </w:rPr>
            </w:pPr>
            <w:r w:rsidRPr="00AA34E8">
              <w:rPr>
                <w:snapToGrid w:val="0"/>
                <w:lang w:eastAsia="en-US"/>
              </w:rPr>
              <w:t xml:space="preserve">Total income from transactions </w:t>
            </w:r>
          </w:p>
        </w:tc>
        <w:tc>
          <w:tcPr>
            <w:tcW w:w="1453" w:type="dxa"/>
            <w:shd w:val="clear" w:color="000000" w:fill="C0C0C0"/>
          </w:tcPr>
          <w:p w:rsidR="00B83890" w:rsidRPr="00AA34E8" w:rsidRDefault="00B83890" w:rsidP="006E6DC8">
            <w:pPr>
              <w:jc w:val="right"/>
              <w:rPr>
                <w:snapToGrid w:val="0"/>
                <w:lang w:eastAsia="en-US"/>
              </w:rPr>
            </w:pPr>
            <w:r>
              <w:rPr>
                <w:snapToGrid w:val="0"/>
                <w:lang w:eastAsia="en-US"/>
              </w:rPr>
              <w:t>116,940</w:t>
            </w:r>
          </w:p>
        </w:tc>
        <w:tc>
          <w:tcPr>
            <w:tcW w:w="1453" w:type="dxa"/>
            <w:shd w:val="clear" w:color="000000" w:fill="E0E0E0"/>
          </w:tcPr>
          <w:p w:rsidR="00B83890" w:rsidRPr="0008130F" w:rsidRDefault="00B83890" w:rsidP="006E6DC8">
            <w:pPr>
              <w:jc w:val="right"/>
              <w:rPr>
                <w:rFonts w:cs="Arial"/>
                <w:snapToGrid w:val="0"/>
                <w:lang w:eastAsia="en-US"/>
              </w:rPr>
            </w:pPr>
            <w:r w:rsidRPr="0008130F">
              <w:rPr>
                <w:rFonts w:cs="Arial"/>
                <w:snapToGrid w:val="0"/>
                <w:lang w:eastAsia="en-US"/>
              </w:rPr>
              <w:t>118,851</w:t>
            </w:r>
          </w:p>
        </w:tc>
        <w:tc>
          <w:tcPr>
            <w:tcW w:w="1453" w:type="dxa"/>
            <w:shd w:val="clear" w:color="000000" w:fill="E0E0E0"/>
          </w:tcPr>
          <w:p w:rsidR="00B83890" w:rsidRPr="00AA34E8" w:rsidRDefault="00B83890" w:rsidP="006E6DC8">
            <w:pPr>
              <w:jc w:val="right"/>
              <w:rPr>
                <w:snapToGrid w:val="0"/>
                <w:lang w:eastAsia="en-US"/>
              </w:rPr>
            </w:pPr>
            <w:r w:rsidRPr="00AA34E8">
              <w:rPr>
                <w:snapToGrid w:val="0"/>
                <w:lang w:eastAsia="en-US"/>
              </w:rPr>
              <w:t>120,214</w:t>
            </w:r>
          </w:p>
        </w:tc>
        <w:tc>
          <w:tcPr>
            <w:tcW w:w="1453" w:type="dxa"/>
            <w:tcBorders>
              <w:top w:val="single" w:sz="4" w:space="0" w:color="808080"/>
            </w:tcBorders>
            <w:shd w:val="clear" w:color="000000" w:fill="E0E0E0"/>
          </w:tcPr>
          <w:p w:rsidR="00B83890" w:rsidRPr="00AA34E8" w:rsidRDefault="00B83890" w:rsidP="006E6DC8">
            <w:pPr>
              <w:jc w:val="right"/>
              <w:rPr>
                <w:rFonts w:cs="Arial"/>
              </w:rPr>
            </w:pPr>
            <w:r w:rsidRPr="00AA34E8">
              <w:rPr>
                <w:rFonts w:cs="Arial"/>
              </w:rPr>
              <w:t>123,923</w:t>
            </w:r>
          </w:p>
        </w:tc>
        <w:tc>
          <w:tcPr>
            <w:tcW w:w="1453" w:type="dxa"/>
            <w:tcBorders>
              <w:top w:val="single" w:sz="4" w:space="0" w:color="808080"/>
            </w:tcBorders>
            <w:shd w:val="clear" w:color="000000" w:fill="E0E0E0"/>
          </w:tcPr>
          <w:p w:rsidR="00B83890" w:rsidRPr="00AA34E8" w:rsidRDefault="00B83890" w:rsidP="006E6DC8">
            <w:pPr>
              <w:jc w:val="right"/>
              <w:rPr>
                <w:rFonts w:cs="Arial"/>
              </w:rPr>
            </w:pPr>
            <w:r w:rsidRPr="00AA34E8">
              <w:rPr>
                <w:rFonts w:cs="Arial"/>
              </w:rPr>
              <w:t>109,509</w:t>
            </w:r>
          </w:p>
        </w:tc>
      </w:tr>
      <w:tr w:rsidR="00B83890" w:rsidRPr="00AA34E8" w:rsidTr="006E6DC8">
        <w:tc>
          <w:tcPr>
            <w:tcW w:w="5495" w:type="dxa"/>
          </w:tcPr>
          <w:p w:rsidR="00B83890" w:rsidRPr="00AA34E8" w:rsidRDefault="00B83890" w:rsidP="006E6DC8">
            <w:pPr>
              <w:jc w:val="both"/>
              <w:rPr>
                <w:snapToGrid w:val="0"/>
                <w:lang w:eastAsia="en-US"/>
              </w:rPr>
            </w:pPr>
            <w:r w:rsidRPr="00AA34E8">
              <w:rPr>
                <w:snapToGrid w:val="0"/>
                <w:lang w:eastAsia="en-US"/>
              </w:rPr>
              <w:t>Total expenses from transactions</w:t>
            </w:r>
          </w:p>
        </w:tc>
        <w:tc>
          <w:tcPr>
            <w:tcW w:w="1453" w:type="dxa"/>
            <w:shd w:val="clear" w:color="000000" w:fill="C0C0C0"/>
          </w:tcPr>
          <w:p w:rsidR="00B83890" w:rsidRPr="00AA34E8" w:rsidRDefault="00B83890" w:rsidP="006E6DC8">
            <w:pPr>
              <w:jc w:val="right"/>
              <w:rPr>
                <w:snapToGrid w:val="0"/>
                <w:lang w:eastAsia="en-US"/>
              </w:rPr>
            </w:pPr>
            <w:r>
              <w:rPr>
                <w:snapToGrid w:val="0"/>
                <w:lang w:eastAsia="en-US"/>
              </w:rPr>
              <w:t>(115,946)</w:t>
            </w:r>
          </w:p>
        </w:tc>
        <w:tc>
          <w:tcPr>
            <w:tcW w:w="1453" w:type="dxa"/>
            <w:shd w:val="clear" w:color="000000" w:fill="E0E0E0"/>
          </w:tcPr>
          <w:p w:rsidR="00B83890" w:rsidRPr="0008130F" w:rsidRDefault="00B83890" w:rsidP="006E6DC8">
            <w:pPr>
              <w:jc w:val="right"/>
              <w:rPr>
                <w:rFonts w:cs="Arial"/>
                <w:snapToGrid w:val="0"/>
                <w:lang w:eastAsia="en-US"/>
              </w:rPr>
            </w:pPr>
            <w:r w:rsidRPr="0008130F">
              <w:rPr>
                <w:rFonts w:cs="Arial"/>
                <w:snapToGrid w:val="0"/>
                <w:lang w:eastAsia="en-US"/>
              </w:rPr>
              <w:t>(131,314)</w:t>
            </w:r>
          </w:p>
        </w:tc>
        <w:tc>
          <w:tcPr>
            <w:tcW w:w="1453" w:type="dxa"/>
            <w:shd w:val="clear" w:color="000000" w:fill="E0E0E0"/>
          </w:tcPr>
          <w:p w:rsidR="00B83890" w:rsidRPr="00AA34E8" w:rsidRDefault="00B83890" w:rsidP="006E6DC8">
            <w:pPr>
              <w:jc w:val="right"/>
              <w:rPr>
                <w:snapToGrid w:val="0"/>
                <w:lang w:eastAsia="en-US"/>
              </w:rPr>
            </w:pPr>
            <w:r w:rsidRPr="00AA34E8">
              <w:rPr>
                <w:snapToGrid w:val="0"/>
                <w:lang w:eastAsia="en-US"/>
              </w:rPr>
              <w:t>(120,745)</w:t>
            </w:r>
          </w:p>
        </w:tc>
        <w:tc>
          <w:tcPr>
            <w:tcW w:w="1453" w:type="dxa"/>
            <w:tcBorders>
              <w:top w:val="single" w:sz="4" w:space="0" w:color="808080"/>
            </w:tcBorders>
            <w:shd w:val="clear" w:color="000000" w:fill="E0E0E0"/>
          </w:tcPr>
          <w:p w:rsidR="00B83890" w:rsidRPr="00AA34E8" w:rsidRDefault="00B83890" w:rsidP="006E6DC8">
            <w:pPr>
              <w:jc w:val="right"/>
              <w:rPr>
                <w:rFonts w:cs="Arial"/>
              </w:rPr>
            </w:pPr>
            <w:r w:rsidRPr="00AA34E8">
              <w:rPr>
                <w:rFonts w:cs="Arial"/>
              </w:rPr>
              <w:t>(122,432)</w:t>
            </w:r>
          </w:p>
        </w:tc>
        <w:tc>
          <w:tcPr>
            <w:tcW w:w="1453" w:type="dxa"/>
            <w:tcBorders>
              <w:top w:val="single" w:sz="4" w:space="0" w:color="808080"/>
            </w:tcBorders>
            <w:shd w:val="clear" w:color="000000" w:fill="E0E0E0"/>
          </w:tcPr>
          <w:p w:rsidR="00B83890" w:rsidRPr="00AA34E8" w:rsidRDefault="00B83890" w:rsidP="006E6DC8">
            <w:pPr>
              <w:jc w:val="right"/>
              <w:rPr>
                <w:rFonts w:cs="Arial"/>
              </w:rPr>
            </w:pPr>
            <w:r w:rsidRPr="00AA34E8">
              <w:rPr>
                <w:rFonts w:cs="Arial"/>
              </w:rPr>
              <w:t>(111,241)</w:t>
            </w:r>
          </w:p>
        </w:tc>
      </w:tr>
      <w:tr w:rsidR="00B83890" w:rsidRPr="00AA34E8" w:rsidTr="006E6DC8">
        <w:tc>
          <w:tcPr>
            <w:tcW w:w="5495" w:type="dxa"/>
          </w:tcPr>
          <w:p w:rsidR="00B83890" w:rsidRPr="00AA34E8" w:rsidRDefault="00B83890" w:rsidP="006E6DC8">
            <w:pPr>
              <w:rPr>
                <w:snapToGrid w:val="0"/>
                <w:lang w:eastAsia="en-US"/>
              </w:rPr>
            </w:pPr>
            <w:r w:rsidRPr="00AA34E8">
              <w:rPr>
                <w:snapToGrid w:val="0"/>
                <w:lang w:eastAsia="en-US"/>
              </w:rPr>
              <w:t>Net result from transactions</w:t>
            </w:r>
          </w:p>
        </w:tc>
        <w:tc>
          <w:tcPr>
            <w:tcW w:w="1453" w:type="dxa"/>
            <w:shd w:val="clear" w:color="000000" w:fill="C0C0C0"/>
          </w:tcPr>
          <w:p w:rsidR="00B83890" w:rsidRPr="00AA34E8" w:rsidRDefault="00B83890" w:rsidP="006E6DC8">
            <w:pPr>
              <w:jc w:val="right"/>
              <w:rPr>
                <w:snapToGrid w:val="0"/>
                <w:lang w:eastAsia="en-US"/>
              </w:rPr>
            </w:pPr>
            <w:r>
              <w:rPr>
                <w:snapToGrid w:val="0"/>
                <w:lang w:eastAsia="en-US"/>
              </w:rPr>
              <w:t>(18,187)</w:t>
            </w:r>
          </w:p>
        </w:tc>
        <w:tc>
          <w:tcPr>
            <w:tcW w:w="1453" w:type="dxa"/>
            <w:shd w:val="clear" w:color="000000" w:fill="E0E0E0"/>
          </w:tcPr>
          <w:p w:rsidR="00B83890" w:rsidRPr="0008130F" w:rsidRDefault="00B83890" w:rsidP="006E6DC8">
            <w:pPr>
              <w:jc w:val="right"/>
              <w:rPr>
                <w:rFonts w:cs="Arial"/>
                <w:snapToGrid w:val="0"/>
                <w:lang w:eastAsia="en-US"/>
              </w:rPr>
            </w:pPr>
            <w:r w:rsidRPr="0008130F">
              <w:rPr>
                <w:rFonts w:cs="Arial"/>
                <w:snapToGrid w:val="0"/>
                <w:lang w:eastAsia="en-US"/>
              </w:rPr>
              <w:t>(12,463)</w:t>
            </w:r>
          </w:p>
        </w:tc>
        <w:tc>
          <w:tcPr>
            <w:tcW w:w="1453" w:type="dxa"/>
            <w:shd w:val="clear" w:color="000000" w:fill="E0E0E0"/>
          </w:tcPr>
          <w:p w:rsidR="00B83890" w:rsidRPr="00AA34E8" w:rsidRDefault="00B83890" w:rsidP="006E6DC8">
            <w:pPr>
              <w:jc w:val="right"/>
              <w:rPr>
                <w:snapToGrid w:val="0"/>
                <w:lang w:eastAsia="en-US"/>
              </w:rPr>
            </w:pPr>
            <w:r w:rsidRPr="00AA34E8">
              <w:rPr>
                <w:snapToGrid w:val="0"/>
                <w:lang w:eastAsia="en-US"/>
              </w:rPr>
              <w:t>(531)</w:t>
            </w:r>
          </w:p>
        </w:tc>
        <w:tc>
          <w:tcPr>
            <w:tcW w:w="1453" w:type="dxa"/>
            <w:tcBorders>
              <w:top w:val="single" w:sz="4" w:space="0" w:color="808080"/>
            </w:tcBorders>
            <w:shd w:val="clear" w:color="000000" w:fill="E0E0E0"/>
          </w:tcPr>
          <w:p w:rsidR="00B83890" w:rsidRPr="00AA34E8" w:rsidRDefault="00B83890" w:rsidP="006E6DC8">
            <w:pPr>
              <w:jc w:val="right"/>
              <w:rPr>
                <w:rFonts w:cs="Arial"/>
              </w:rPr>
            </w:pPr>
            <w:r w:rsidRPr="00AA34E8">
              <w:rPr>
                <w:rFonts w:cs="Arial"/>
              </w:rPr>
              <w:t>1,491</w:t>
            </w:r>
          </w:p>
        </w:tc>
        <w:tc>
          <w:tcPr>
            <w:tcW w:w="1453" w:type="dxa"/>
            <w:tcBorders>
              <w:top w:val="single" w:sz="4" w:space="0" w:color="808080"/>
            </w:tcBorders>
            <w:shd w:val="clear" w:color="000000" w:fill="E0E0E0"/>
          </w:tcPr>
          <w:p w:rsidR="00B83890" w:rsidRPr="00AA34E8" w:rsidRDefault="00B83890" w:rsidP="006E6DC8">
            <w:pPr>
              <w:jc w:val="right"/>
              <w:rPr>
                <w:rFonts w:cs="Arial"/>
              </w:rPr>
            </w:pPr>
            <w:r w:rsidRPr="00AA34E8">
              <w:rPr>
                <w:rFonts w:cs="Arial"/>
              </w:rPr>
              <w:t>(1,732)</w:t>
            </w:r>
          </w:p>
        </w:tc>
      </w:tr>
      <w:tr w:rsidR="00B83890" w:rsidRPr="00AA34E8" w:rsidTr="006E6DC8">
        <w:tc>
          <w:tcPr>
            <w:tcW w:w="5495" w:type="dxa"/>
            <w:vAlign w:val="center"/>
          </w:tcPr>
          <w:p w:rsidR="00B83890" w:rsidRPr="00AA34E8" w:rsidRDefault="00B83890" w:rsidP="006E6DC8">
            <w:pPr>
              <w:rPr>
                <w:b/>
                <w:snapToGrid w:val="0"/>
                <w:lang w:eastAsia="en-US"/>
              </w:rPr>
            </w:pPr>
            <w:r w:rsidRPr="00AA34E8">
              <w:rPr>
                <w:b/>
                <w:snapToGrid w:val="0"/>
                <w:lang w:eastAsia="en-US"/>
              </w:rPr>
              <w:t>Net result for the period</w:t>
            </w:r>
          </w:p>
        </w:tc>
        <w:tc>
          <w:tcPr>
            <w:tcW w:w="1453" w:type="dxa"/>
            <w:shd w:val="clear" w:color="000000" w:fill="C0C0C0"/>
            <w:vAlign w:val="center"/>
          </w:tcPr>
          <w:p w:rsidR="00B83890" w:rsidRPr="00AA34E8" w:rsidRDefault="00B83890" w:rsidP="006E6DC8">
            <w:pPr>
              <w:jc w:val="right"/>
              <w:rPr>
                <w:b/>
                <w:snapToGrid w:val="0"/>
                <w:lang w:eastAsia="en-US"/>
              </w:rPr>
            </w:pPr>
            <w:r>
              <w:rPr>
                <w:b/>
                <w:snapToGrid w:val="0"/>
                <w:lang w:eastAsia="en-US"/>
              </w:rPr>
              <w:t>(18,271)</w:t>
            </w:r>
          </w:p>
        </w:tc>
        <w:tc>
          <w:tcPr>
            <w:tcW w:w="1453" w:type="dxa"/>
            <w:shd w:val="clear" w:color="000000" w:fill="E0E0E0"/>
            <w:vAlign w:val="center"/>
          </w:tcPr>
          <w:p w:rsidR="00B83890" w:rsidRPr="0008130F" w:rsidRDefault="00B83890" w:rsidP="006E6DC8">
            <w:pPr>
              <w:jc w:val="right"/>
              <w:rPr>
                <w:rFonts w:cs="Arial"/>
                <w:b/>
                <w:snapToGrid w:val="0"/>
                <w:lang w:eastAsia="en-US"/>
              </w:rPr>
            </w:pPr>
            <w:r w:rsidRPr="0008130F">
              <w:rPr>
                <w:rFonts w:cs="Arial"/>
                <w:b/>
                <w:snapToGrid w:val="0"/>
                <w:lang w:eastAsia="en-US"/>
              </w:rPr>
              <w:t>(12,603)</w:t>
            </w:r>
          </w:p>
        </w:tc>
        <w:tc>
          <w:tcPr>
            <w:tcW w:w="1453" w:type="dxa"/>
            <w:shd w:val="clear" w:color="000000" w:fill="E0E0E0"/>
            <w:vAlign w:val="center"/>
          </w:tcPr>
          <w:p w:rsidR="00B83890" w:rsidRPr="0008130F" w:rsidRDefault="00B83890" w:rsidP="006E6DC8">
            <w:pPr>
              <w:jc w:val="right"/>
              <w:rPr>
                <w:b/>
                <w:snapToGrid w:val="0"/>
                <w:lang w:eastAsia="en-US"/>
              </w:rPr>
            </w:pPr>
            <w:r w:rsidRPr="0008130F">
              <w:rPr>
                <w:b/>
                <w:snapToGrid w:val="0"/>
                <w:lang w:eastAsia="en-US"/>
              </w:rPr>
              <w:t>(567)</w:t>
            </w:r>
          </w:p>
        </w:tc>
        <w:tc>
          <w:tcPr>
            <w:tcW w:w="1453" w:type="dxa"/>
            <w:tcBorders>
              <w:top w:val="single" w:sz="4" w:space="0" w:color="808080"/>
            </w:tcBorders>
            <w:shd w:val="clear" w:color="000000" w:fill="E0E0E0"/>
            <w:vAlign w:val="center"/>
          </w:tcPr>
          <w:p w:rsidR="00B83890" w:rsidRPr="00AA34E8" w:rsidRDefault="00B83890" w:rsidP="006E6DC8">
            <w:pPr>
              <w:jc w:val="right"/>
              <w:rPr>
                <w:rFonts w:cs="Arial"/>
                <w:b/>
              </w:rPr>
            </w:pPr>
            <w:r w:rsidRPr="00AA34E8">
              <w:rPr>
                <w:rFonts w:cs="Arial"/>
                <w:b/>
              </w:rPr>
              <w:t>1,905</w:t>
            </w:r>
          </w:p>
        </w:tc>
        <w:tc>
          <w:tcPr>
            <w:tcW w:w="1453" w:type="dxa"/>
            <w:tcBorders>
              <w:top w:val="single" w:sz="4" w:space="0" w:color="808080"/>
            </w:tcBorders>
            <w:shd w:val="clear" w:color="000000" w:fill="E0E0E0"/>
            <w:vAlign w:val="center"/>
          </w:tcPr>
          <w:p w:rsidR="00B83890" w:rsidRPr="00AA34E8" w:rsidRDefault="00B83890" w:rsidP="006E6DC8">
            <w:pPr>
              <w:jc w:val="right"/>
              <w:rPr>
                <w:rFonts w:cs="Arial"/>
                <w:b/>
              </w:rPr>
            </w:pPr>
            <w:r w:rsidRPr="00AA34E8">
              <w:rPr>
                <w:rFonts w:cs="Arial"/>
                <w:b/>
              </w:rPr>
              <w:t>(1,902)</w:t>
            </w:r>
          </w:p>
        </w:tc>
      </w:tr>
      <w:tr w:rsidR="00B83890" w:rsidRPr="00AA34E8" w:rsidTr="006E6DC8">
        <w:trPr>
          <w:trHeight w:val="70"/>
        </w:trPr>
        <w:tc>
          <w:tcPr>
            <w:tcW w:w="5495" w:type="dxa"/>
          </w:tcPr>
          <w:p w:rsidR="00B83890" w:rsidRPr="00AA34E8" w:rsidRDefault="00B83890" w:rsidP="006E6DC8">
            <w:pPr>
              <w:rPr>
                <w:snapToGrid w:val="0"/>
                <w:sz w:val="10"/>
                <w:szCs w:val="10"/>
                <w:lang w:eastAsia="en-US"/>
              </w:rPr>
            </w:pPr>
          </w:p>
        </w:tc>
        <w:tc>
          <w:tcPr>
            <w:tcW w:w="1453" w:type="dxa"/>
            <w:shd w:val="clear" w:color="000000" w:fill="C0C0C0"/>
          </w:tcPr>
          <w:p w:rsidR="00B83890" w:rsidRPr="00AA34E8" w:rsidRDefault="00B83890" w:rsidP="006E6DC8">
            <w:pPr>
              <w:jc w:val="right"/>
              <w:rPr>
                <w:snapToGrid w:val="0"/>
                <w:sz w:val="10"/>
                <w:szCs w:val="10"/>
                <w:lang w:eastAsia="en-US"/>
              </w:rPr>
            </w:pPr>
          </w:p>
        </w:tc>
        <w:tc>
          <w:tcPr>
            <w:tcW w:w="1453" w:type="dxa"/>
            <w:shd w:val="clear" w:color="000000" w:fill="E0E0E0"/>
          </w:tcPr>
          <w:p w:rsidR="00B83890" w:rsidRPr="0008130F" w:rsidRDefault="00B83890" w:rsidP="006E6DC8">
            <w:pPr>
              <w:jc w:val="right"/>
              <w:rPr>
                <w:rFonts w:cs="Arial"/>
                <w:snapToGrid w:val="0"/>
                <w:lang w:eastAsia="en-US"/>
              </w:rPr>
            </w:pPr>
          </w:p>
        </w:tc>
        <w:tc>
          <w:tcPr>
            <w:tcW w:w="1453" w:type="dxa"/>
            <w:shd w:val="clear" w:color="000000" w:fill="E0E0E0"/>
          </w:tcPr>
          <w:p w:rsidR="00B83890" w:rsidRPr="00AA34E8" w:rsidRDefault="00B83890" w:rsidP="006E6DC8">
            <w:pPr>
              <w:jc w:val="right"/>
              <w:rPr>
                <w:snapToGrid w:val="0"/>
                <w:sz w:val="10"/>
                <w:szCs w:val="10"/>
                <w:lang w:eastAsia="en-US"/>
              </w:rPr>
            </w:pPr>
          </w:p>
        </w:tc>
        <w:tc>
          <w:tcPr>
            <w:tcW w:w="1453" w:type="dxa"/>
            <w:tcBorders>
              <w:top w:val="single" w:sz="4" w:space="0" w:color="808080"/>
            </w:tcBorders>
            <w:shd w:val="clear" w:color="000000" w:fill="E0E0E0"/>
          </w:tcPr>
          <w:p w:rsidR="00B83890" w:rsidRPr="00AA34E8" w:rsidRDefault="00B83890" w:rsidP="006E6DC8">
            <w:pPr>
              <w:jc w:val="right"/>
              <w:rPr>
                <w:rFonts w:cs="Arial"/>
                <w:sz w:val="10"/>
                <w:szCs w:val="10"/>
              </w:rPr>
            </w:pPr>
          </w:p>
        </w:tc>
        <w:tc>
          <w:tcPr>
            <w:tcW w:w="1453" w:type="dxa"/>
            <w:tcBorders>
              <w:top w:val="single" w:sz="4" w:space="0" w:color="808080"/>
            </w:tcBorders>
            <w:shd w:val="clear" w:color="000000" w:fill="E0E0E0"/>
          </w:tcPr>
          <w:p w:rsidR="00B83890" w:rsidRPr="00AA34E8" w:rsidRDefault="00B83890" w:rsidP="006E6DC8">
            <w:pPr>
              <w:jc w:val="right"/>
              <w:rPr>
                <w:rFonts w:cs="Arial"/>
                <w:sz w:val="10"/>
                <w:szCs w:val="10"/>
              </w:rPr>
            </w:pPr>
          </w:p>
        </w:tc>
      </w:tr>
      <w:tr w:rsidR="00B83890" w:rsidRPr="00AA34E8" w:rsidTr="006E6DC8">
        <w:tc>
          <w:tcPr>
            <w:tcW w:w="5495" w:type="dxa"/>
          </w:tcPr>
          <w:p w:rsidR="00B83890" w:rsidRPr="00AA34E8" w:rsidRDefault="00B83890" w:rsidP="006E6DC8">
            <w:pPr>
              <w:rPr>
                <w:snapToGrid w:val="0"/>
                <w:lang w:eastAsia="en-US"/>
              </w:rPr>
            </w:pPr>
            <w:r w:rsidRPr="00AA34E8">
              <w:rPr>
                <w:snapToGrid w:val="0"/>
                <w:lang w:eastAsia="en-US"/>
              </w:rPr>
              <w:t>Net cash flow from operating activities</w:t>
            </w:r>
          </w:p>
        </w:tc>
        <w:tc>
          <w:tcPr>
            <w:tcW w:w="1453" w:type="dxa"/>
            <w:shd w:val="clear" w:color="000000" w:fill="C0C0C0"/>
          </w:tcPr>
          <w:p w:rsidR="00B83890" w:rsidRPr="00AA34E8" w:rsidRDefault="00B83890" w:rsidP="006E6DC8">
            <w:pPr>
              <w:jc w:val="right"/>
            </w:pPr>
            <w:r>
              <w:t>1,679</w:t>
            </w:r>
          </w:p>
        </w:tc>
        <w:tc>
          <w:tcPr>
            <w:tcW w:w="1453" w:type="dxa"/>
            <w:shd w:val="clear" w:color="000000" w:fill="E0E0E0"/>
          </w:tcPr>
          <w:p w:rsidR="00B83890" w:rsidRPr="0008130F" w:rsidRDefault="00B83890" w:rsidP="006E6DC8">
            <w:pPr>
              <w:jc w:val="right"/>
              <w:rPr>
                <w:rFonts w:cs="Arial"/>
              </w:rPr>
            </w:pPr>
            <w:r w:rsidRPr="0008130F">
              <w:rPr>
                <w:rFonts w:cs="Arial"/>
              </w:rPr>
              <w:t>8,958</w:t>
            </w:r>
          </w:p>
        </w:tc>
        <w:tc>
          <w:tcPr>
            <w:tcW w:w="1453" w:type="dxa"/>
            <w:shd w:val="clear" w:color="000000" w:fill="E0E0E0"/>
          </w:tcPr>
          <w:p w:rsidR="00B83890" w:rsidRPr="00AA34E8" w:rsidRDefault="00B83890" w:rsidP="006E6DC8">
            <w:pPr>
              <w:jc w:val="right"/>
            </w:pPr>
            <w:r w:rsidRPr="00AA34E8">
              <w:t>10,294</w:t>
            </w:r>
          </w:p>
        </w:tc>
        <w:tc>
          <w:tcPr>
            <w:tcW w:w="1453" w:type="dxa"/>
            <w:tcBorders>
              <w:top w:val="single" w:sz="4" w:space="0" w:color="808080"/>
            </w:tcBorders>
            <w:shd w:val="clear" w:color="000000" w:fill="E0E0E0"/>
          </w:tcPr>
          <w:p w:rsidR="00B83890" w:rsidRPr="00AA34E8" w:rsidRDefault="00B83890" w:rsidP="006E6DC8">
            <w:pPr>
              <w:jc w:val="right"/>
              <w:rPr>
                <w:rFonts w:cs="Arial"/>
              </w:rPr>
            </w:pPr>
            <w:r w:rsidRPr="00AA34E8">
              <w:rPr>
                <w:rFonts w:cs="Arial"/>
              </w:rPr>
              <w:t>14,426</w:t>
            </w:r>
          </w:p>
        </w:tc>
        <w:tc>
          <w:tcPr>
            <w:tcW w:w="1453" w:type="dxa"/>
            <w:tcBorders>
              <w:top w:val="single" w:sz="4" w:space="0" w:color="808080"/>
            </w:tcBorders>
            <w:shd w:val="clear" w:color="000000" w:fill="E0E0E0"/>
          </w:tcPr>
          <w:p w:rsidR="00B83890" w:rsidRPr="00AA34E8" w:rsidRDefault="00B83890" w:rsidP="006E6DC8">
            <w:pPr>
              <w:jc w:val="right"/>
              <w:rPr>
                <w:rFonts w:cs="Arial"/>
              </w:rPr>
            </w:pPr>
            <w:r w:rsidRPr="00AA34E8">
              <w:rPr>
                <w:rFonts w:cs="Arial"/>
              </w:rPr>
              <w:t>10,744</w:t>
            </w:r>
          </w:p>
        </w:tc>
      </w:tr>
      <w:tr w:rsidR="00B83890" w:rsidRPr="00AA34E8" w:rsidTr="006E6DC8">
        <w:tc>
          <w:tcPr>
            <w:tcW w:w="5495" w:type="dxa"/>
          </w:tcPr>
          <w:p w:rsidR="00B83890" w:rsidRPr="00AA34E8" w:rsidRDefault="00B83890" w:rsidP="006E6DC8">
            <w:pPr>
              <w:rPr>
                <w:snapToGrid w:val="0"/>
                <w:sz w:val="10"/>
                <w:szCs w:val="10"/>
                <w:lang w:eastAsia="en-US"/>
              </w:rPr>
            </w:pPr>
          </w:p>
        </w:tc>
        <w:tc>
          <w:tcPr>
            <w:tcW w:w="1453" w:type="dxa"/>
            <w:shd w:val="clear" w:color="000000" w:fill="C0C0C0"/>
          </w:tcPr>
          <w:p w:rsidR="00B83890" w:rsidRPr="00AA34E8" w:rsidRDefault="00B83890" w:rsidP="006E6DC8">
            <w:pPr>
              <w:rPr>
                <w:snapToGrid w:val="0"/>
                <w:sz w:val="10"/>
                <w:szCs w:val="10"/>
                <w:lang w:eastAsia="en-US"/>
              </w:rPr>
            </w:pPr>
          </w:p>
        </w:tc>
        <w:tc>
          <w:tcPr>
            <w:tcW w:w="1453" w:type="dxa"/>
            <w:shd w:val="clear" w:color="000000" w:fill="E0E0E0"/>
          </w:tcPr>
          <w:p w:rsidR="00B83890" w:rsidRPr="0008130F" w:rsidRDefault="00B83890" w:rsidP="006E6DC8">
            <w:pPr>
              <w:jc w:val="right"/>
              <w:rPr>
                <w:rFonts w:cs="Arial"/>
                <w:snapToGrid w:val="0"/>
                <w:lang w:eastAsia="en-US"/>
              </w:rPr>
            </w:pPr>
          </w:p>
        </w:tc>
        <w:tc>
          <w:tcPr>
            <w:tcW w:w="1453" w:type="dxa"/>
            <w:shd w:val="clear" w:color="000000" w:fill="E0E0E0"/>
          </w:tcPr>
          <w:p w:rsidR="00B83890" w:rsidRPr="00AA34E8" w:rsidRDefault="00B83890" w:rsidP="006E6DC8">
            <w:pPr>
              <w:rPr>
                <w:snapToGrid w:val="0"/>
                <w:sz w:val="10"/>
                <w:szCs w:val="10"/>
                <w:lang w:eastAsia="en-US"/>
              </w:rPr>
            </w:pPr>
          </w:p>
        </w:tc>
        <w:tc>
          <w:tcPr>
            <w:tcW w:w="1453" w:type="dxa"/>
            <w:tcBorders>
              <w:top w:val="single" w:sz="4" w:space="0" w:color="808080"/>
            </w:tcBorders>
            <w:shd w:val="clear" w:color="000000" w:fill="E0E0E0"/>
          </w:tcPr>
          <w:p w:rsidR="00B83890" w:rsidRPr="00AA34E8" w:rsidRDefault="00B83890" w:rsidP="006E6DC8">
            <w:pPr>
              <w:rPr>
                <w:snapToGrid w:val="0"/>
                <w:sz w:val="10"/>
                <w:szCs w:val="10"/>
                <w:lang w:eastAsia="en-US"/>
              </w:rPr>
            </w:pPr>
          </w:p>
        </w:tc>
        <w:tc>
          <w:tcPr>
            <w:tcW w:w="1453" w:type="dxa"/>
            <w:tcBorders>
              <w:top w:val="single" w:sz="4" w:space="0" w:color="808080"/>
            </w:tcBorders>
            <w:shd w:val="clear" w:color="000000" w:fill="E0E0E0"/>
          </w:tcPr>
          <w:p w:rsidR="00B83890" w:rsidRPr="00AA34E8" w:rsidRDefault="00B83890" w:rsidP="006E6DC8">
            <w:pPr>
              <w:rPr>
                <w:snapToGrid w:val="0"/>
                <w:sz w:val="10"/>
                <w:szCs w:val="10"/>
                <w:lang w:eastAsia="en-US"/>
              </w:rPr>
            </w:pPr>
          </w:p>
        </w:tc>
      </w:tr>
      <w:tr w:rsidR="00B83890" w:rsidRPr="00AA34E8" w:rsidTr="006E6DC8">
        <w:tc>
          <w:tcPr>
            <w:tcW w:w="5495" w:type="dxa"/>
            <w:tcBorders>
              <w:bottom w:val="single" w:sz="4" w:space="0" w:color="808080"/>
            </w:tcBorders>
          </w:tcPr>
          <w:p w:rsidR="00B83890" w:rsidRPr="00AA34E8" w:rsidRDefault="00B83890" w:rsidP="006E6DC8">
            <w:pPr>
              <w:rPr>
                <w:snapToGrid w:val="0"/>
                <w:lang w:eastAsia="en-US"/>
              </w:rPr>
            </w:pPr>
            <w:r w:rsidRPr="00AA34E8">
              <w:rPr>
                <w:snapToGrid w:val="0"/>
                <w:lang w:eastAsia="en-US"/>
              </w:rPr>
              <w:t>Total assets</w:t>
            </w:r>
          </w:p>
        </w:tc>
        <w:tc>
          <w:tcPr>
            <w:tcW w:w="1453" w:type="dxa"/>
            <w:shd w:val="clear" w:color="000000" w:fill="C0C0C0"/>
          </w:tcPr>
          <w:p w:rsidR="00B83890" w:rsidRPr="00AA34E8" w:rsidRDefault="00B83890" w:rsidP="006E6DC8">
            <w:pPr>
              <w:jc w:val="right"/>
            </w:pPr>
            <w:r>
              <w:t>1,043,561</w:t>
            </w:r>
          </w:p>
        </w:tc>
        <w:tc>
          <w:tcPr>
            <w:tcW w:w="1453" w:type="dxa"/>
            <w:shd w:val="clear" w:color="000000" w:fill="E0E0E0"/>
          </w:tcPr>
          <w:p w:rsidR="00B83890" w:rsidRPr="0008130F" w:rsidRDefault="00B83890" w:rsidP="006E6DC8">
            <w:pPr>
              <w:jc w:val="right"/>
              <w:rPr>
                <w:rFonts w:cs="Arial"/>
              </w:rPr>
            </w:pPr>
            <w:r w:rsidRPr="0008130F">
              <w:rPr>
                <w:rFonts w:cs="Arial"/>
              </w:rPr>
              <w:t>1,062,100</w:t>
            </w:r>
          </w:p>
        </w:tc>
        <w:tc>
          <w:tcPr>
            <w:tcW w:w="1453" w:type="dxa"/>
            <w:shd w:val="clear" w:color="000000" w:fill="E0E0E0"/>
          </w:tcPr>
          <w:p w:rsidR="00B83890" w:rsidRPr="00AA34E8" w:rsidRDefault="00B83890" w:rsidP="006E6DC8">
            <w:pPr>
              <w:jc w:val="right"/>
            </w:pPr>
            <w:r w:rsidRPr="00AA34E8">
              <w:t>1,073,602</w:t>
            </w:r>
          </w:p>
        </w:tc>
        <w:tc>
          <w:tcPr>
            <w:tcW w:w="1453" w:type="dxa"/>
            <w:tcBorders>
              <w:top w:val="single" w:sz="4" w:space="0" w:color="808080"/>
            </w:tcBorders>
            <w:shd w:val="clear" w:color="000000" w:fill="E0E0E0"/>
          </w:tcPr>
          <w:p w:rsidR="00B83890" w:rsidRPr="00AA34E8" w:rsidRDefault="00B83890" w:rsidP="006E6DC8">
            <w:pPr>
              <w:jc w:val="right"/>
              <w:rPr>
                <w:rFonts w:cs="Arial"/>
              </w:rPr>
            </w:pPr>
            <w:r w:rsidRPr="00AA34E8">
              <w:rPr>
                <w:rFonts w:cs="Arial"/>
              </w:rPr>
              <w:t>690,947</w:t>
            </w:r>
          </w:p>
        </w:tc>
        <w:tc>
          <w:tcPr>
            <w:tcW w:w="1453" w:type="dxa"/>
            <w:tcBorders>
              <w:top w:val="single" w:sz="4" w:space="0" w:color="808080"/>
            </w:tcBorders>
            <w:shd w:val="clear" w:color="000000" w:fill="E0E0E0"/>
          </w:tcPr>
          <w:p w:rsidR="00B83890" w:rsidRPr="00AA34E8" w:rsidRDefault="00B83890" w:rsidP="006E6DC8">
            <w:pPr>
              <w:jc w:val="right"/>
              <w:rPr>
                <w:rFonts w:cs="Arial"/>
              </w:rPr>
            </w:pPr>
            <w:r w:rsidRPr="00AA34E8">
              <w:rPr>
                <w:rFonts w:cs="Arial"/>
              </w:rPr>
              <w:t>687,624</w:t>
            </w:r>
          </w:p>
        </w:tc>
      </w:tr>
      <w:tr w:rsidR="00B83890" w:rsidRPr="00AA34E8" w:rsidTr="006E6DC8">
        <w:tc>
          <w:tcPr>
            <w:tcW w:w="5495" w:type="dxa"/>
            <w:tcBorders>
              <w:top w:val="single" w:sz="4" w:space="0" w:color="808080"/>
              <w:bottom w:val="single" w:sz="4" w:space="0" w:color="808080"/>
              <w:right w:val="nil"/>
            </w:tcBorders>
          </w:tcPr>
          <w:p w:rsidR="00B83890" w:rsidRPr="00AA34E8" w:rsidRDefault="00B83890" w:rsidP="006E6DC8">
            <w:pPr>
              <w:rPr>
                <w:snapToGrid w:val="0"/>
                <w:lang w:eastAsia="en-US"/>
              </w:rPr>
            </w:pPr>
            <w:r w:rsidRPr="00AA34E8">
              <w:rPr>
                <w:snapToGrid w:val="0"/>
                <w:lang w:eastAsia="en-US"/>
              </w:rPr>
              <w:t>Total liabilities</w:t>
            </w:r>
          </w:p>
        </w:tc>
        <w:tc>
          <w:tcPr>
            <w:tcW w:w="1453" w:type="dxa"/>
            <w:tcBorders>
              <w:top w:val="single" w:sz="4" w:space="0" w:color="808080"/>
              <w:left w:val="nil"/>
              <w:bottom w:val="single" w:sz="4" w:space="0" w:color="808080"/>
            </w:tcBorders>
            <w:shd w:val="clear" w:color="000000" w:fill="C0C0C0"/>
          </w:tcPr>
          <w:p w:rsidR="00B83890" w:rsidRPr="00AA34E8" w:rsidRDefault="00B83890" w:rsidP="006E6DC8">
            <w:pPr>
              <w:jc w:val="right"/>
              <w:rPr>
                <w:snapToGrid w:val="0"/>
                <w:lang w:eastAsia="en-US"/>
              </w:rPr>
            </w:pPr>
            <w:r>
              <w:rPr>
                <w:snapToGrid w:val="0"/>
                <w:lang w:eastAsia="en-US"/>
              </w:rPr>
              <w:t>14,747</w:t>
            </w:r>
          </w:p>
        </w:tc>
        <w:tc>
          <w:tcPr>
            <w:tcW w:w="1453" w:type="dxa"/>
            <w:tcBorders>
              <w:top w:val="single" w:sz="4" w:space="0" w:color="808080"/>
              <w:bottom w:val="single" w:sz="4" w:space="0" w:color="808080"/>
            </w:tcBorders>
            <w:shd w:val="clear" w:color="000000" w:fill="E0E0E0"/>
          </w:tcPr>
          <w:p w:rsidR="00B83890" w:rsidRPr="0008130F" w:rsidRDefault="00B83890" w:rsidP="006E6DC8">
            <w:pPr>
              <w:jc w:val="right"/>
              <w:rPr>
                <w:rFonts w:cs="Arial"/>
                <w:snapToGrid w:val="0"/>
                <w:lang w:eastAsia="en-US"/>
              </w:rPr>
            </w:pPr>
            <w:r w:rsidRPr="0008130F">
              <w:rPr>
                <w:rFonts w:cs="Arial"/>
                <w:snapToGrid w:val="0"/>
                <w:lang w:eastAsia="en-US"/>
              </w:rPr>
              <w:t>15,015</w:t>
            </w:r>
          </w:p>
        </w:tc>
        <w:tc>
          <w:tcPr>
            <w:tcW w:w="1453" w:type="dxa"/>
            <w:tcBorders>
              <w:top w:val="single" w:sz="4" w:space="0" w:color="808080"/>
              <w:bottom w:val="single" w:sz="4" w:space="0" w:color="808080"/>
            </w:tcBorders>
            <w:shd w:val="clear" w:color="000000" w:fill="E0E0E0"/>
          </w:tcPr>
          <w:p w:rsidR="00B83890" w:rsidRPr="00AA34E8" w:rsidRDefault="00B83890" w:rsidP="006E6DC8">
            <w:pPr>
              <w:jc w:val="right"/>
              <w:rPr>
                <w:snapToGrid w:val="0"/>
                <w:lang w:eastAsia="en-US"/>
              </w:rPr>
            </w:pPr>
            <w:r w:rsidRPr="00AA34E8">
              <w:rPr>
                <w:snapToGrid w:val="0"/>
                <w:lang w:eastAsia="en-US"/>
              </w:rPr>
              <w:t>13,914</w:t>
            </w:r>
          </w:p>
        </w:tc>
        <w:tc>
          <w:tcPr>
            <w:tcW w:w="1453" w:type="dxa"/>
            <w:tcBorders>
              <w:top w:val="single" w:sz="4" w:space="0" w:color="808080"/>
              <w:bottom w:val="single" w:sz="4" w:space="0" w:color="808080"/>
            </w:tcBorders>
            <w:shd w:val="clear" w:color="000000" w:fill="E0E0E0"/>
          </w:tcPr>
          <w:p w:rsidR="00B83890" w:rsidRPr="00AA34E8" w:rsidRDefault="00B83890" w:rsidP="006E6DC8">
            <w:pPr>
              <w:jc w:val="right"/>
              <w:rPr>
                <w:rFonts w:cs="Arial"/>
              </w:rPr>
            </w:pPr>
            <w:r w:rsidRPr="00AA34E8">
              <w:rPr>
                <w:rFonts w:cs="Arial"/>
              </w:rPr>
              <w:t>15,548</w:t>
            </w:r>
          </w:p>
        </w:tc>
        <w:tc>
          <w:tcPr>
            <w:tcW w:w="1453" w:type="dxa"/>
            <w:tcBorders>
              <w:top w:val="single" w:sz="4" w:space="0" w:color="808080"/>
              <w:bottom w:val="single" w:sz="4" w:space="0" w:color="808080"/>
            </w:tcBorders>
            <w:shd w:val="clear" w:color="000000" w:fill="E0E0E0"/>
          </w:tcPr>
          <w:p w:rsidR="00B83890" w:rsidRPr="00AA34E8" w:rsidRDefault="00B83890" w:rsidP="006E6DC8">
            <w:pPr>
              <w:jc w:val="right"/>
              <w:rPr>
                <w:rFonts w:cs="Arial"/>
              </w:rPr>
            </w:pPr>
            <w:r w:rsidRPr="00AA34E8">
              <w:rPr>
                <w:rFonts w:cs="Arial"/>
              </w:rPr>
              <w:t>14,130</w:t>
            </w:r>
          </w:p>
        </w:tc>
      </w:tr>
    </w:tbl>
    <w:p w:rsidR="00B83890" w:rsidRDefault="00B83890" w:rsidP="000A7F62"/>
    <w:p w:rsidR="00B83890" w:rsidRDefault="00B83890" w:rsidP="000A7F62">
      <w:r w:rsidRPr="00EA48F1">
        <w:lastRenderedPageBreak/>
        <w:t>Notes:</w:t>
      </w:r>
    </w:p>
    <w:p w:rsidR="00B83890" w:rsidRPr="00695F40" w:rsidRDefault="00B83890" w:rsidP="000A7F62">
      <w:r w:rsidRPr="00695F40">
        <w:t xml:space="preserve">Revenue received from government was lower in comparison to the previous financial year, due to the end of funding for significant projects such as the former ACI site, with funding for smaller projects </w:t>
      </w:r>
      <w:r>
        <w:t>occurring in 2012–</w:t>
      </w:r>
      <w:r w:rsidRPr="00695F40">
        <w:t>13. In accordance with government policy, a capital asset charge is included in revenue from government and disclosed separately as an expense within the financial statements. Total income includes donations and grants that are brought to account when received and not matched with expenditure, which may occur in subsequent financial periods.</w:t>
      </w:r>
    </w:p>
    <w:p w:rsidR="00B83890" w:rsidRPr="00695F40" w:rsidRDefault="00B83890" w:rsidP="000A7F62"/>
    <w:p w:rsidR="00B83890" w:rsidRPr="00695F40" w:rsidRDefault="00B83890" w:rsidP="000A7F62">
      <w:r w:rsidRPr="00695F40">
        <w:t>Museum Victoria receives a substantial proportion of its revenue from government, which does not necessarily fund depreciation. The lack of depreciation funding may result in infrastructure that is no longer fit-for-purpose and may require significant government investment. This does not impact Museum Victoria’s ability to operate as a going concern.</w:t>
      </w:r>
    </w:p>
    <w:p w:rsidR="00B83890" w:rsidRPr="00695F40" w:rsidRDefault="00B83890" w:rsidP="000A7F62"/>
    <w:p w:rsidR="00B83890" w:rsidRPr="00695F40" w:rsidRDefault="00B83890" w:rsidP="000A7F62">
      <w:r w:rsidRPr="00695F40">
        <w:t xml:space="preserve">The main factor behind the increase in expenses was additional staff payments as a result of the implementation of the new Staff Partnership Agreement and organisation restructure during the year. </w:t>
      </w:r>
    </w:p>
    <w:p w:rsidR="00B83890" w:rsidRPr="00695F40" w:rsidRDefault="00B83890" w:rsidP="000A7F62"/>
    <w:p w:rsidR="00B83890" w:rsidRDefault="00B83890" w:rsidP="000A7F62">
      <w:r w:rsidRPr="00695F40">
        <w:t>Total assets fell by $18.5 million</w:t>
      </w:r>
      <w:r>
        <w:t>,</w:t>
      </w:r>
      <w:r w:rsidRPr="00695F40">
        <w:t xml:space="preserve"> mainly as a result of depreciation charges, noting that buildings were re</w:t>
      </w:r>
      <w:r>
        <w:t>-</w:t>
      </w:r>
      <w:r w:rsidRPr="00695F40">
        <w:t>valued upwards in 2010–11.</w:t>
      </w:r>
    </w:p>
    <w:p w:rsidR="00B83890" w:rsidRDefault="00B83890" w:rsidP="00B83890">
      <w:pPr>
        <w:pStyle w:val="Heading2"/>
        <w:rPr>
          <w:sz w:val="22"/>
          <w:szCs w:val="22"/>
        </w:rPr>
      </w:pPr>
    </w:p>
    <w:p w:rsidR="00B83890" w:rsidRPr="009D4D59" w:rsidRDefault="00B83890" w:rsidP="00B83890"/>
    <w:p w:rsidR="00B83890" w:rsidRDefault="00B83890" w:rsidP="00B83890">
      <w:pPr>
        <w:pStyle w:val="Heading2"/>
      </w:pPr>
      <w:r w:rsidRPr="00A14017">
        <w:t>Environmental Performance</w:t>
      </w:r>
    </w:p>
    <w:tbl>
      <w:tblPr>
        <w:tblW w:w="12760" w:type="dxa"/>
        <w:tblBorders>
          <w:bottom w:val="single" w:sz="4" w:space="0" w:color="808080"/>
          <w:insideH w:val="single" w:sz="4" w:space="0" w:color="808080"/>
        </w:tblBorders>
        <w:tblLayout w:type="fixed"/>
        <w:tblLook w:val="0000" w:firstRow="0" w:lastRow="0" w:firstColumn="0" w:lastColumn="0" w:noHBand="0" w:noVBand="0"/>
        <w:tblCaption w:val="Environmental Performance"/>
        <w:tblDescription w:val="Table shows energy, waste, and water performance indicators for 2012–13 and for prior years."/>
      </w:tblPr>
      <w:tblGrid>
        <w:gridCol w:w="5495"/>
        <w:gridCol w:w="1453"/>
        <w:gridCol w:w="1453"/>
        <w:gridCol w:w="1453"/>
        <w:gridCol w:w="1453"/>
        <w:gridCol w:w="1453"/>
      </w:tblGrid>
      <w:tr w:rsidR="00B83890" w:rsidTr="0093396F">
        <w:trPr>
          <w:tblHeader/>
        </w:trPr>
        <w:tc>
          <w:tcPr>
            <w:tcW w:w="5495" w:type="dxa"/>
          </w:tcPr>
          <w:p w:rsidR="00B83890" w:rsidRDefault="00B83890" w:rsidP="006E6DC8">
            <w:pPr>
              <w:pStyle w:val="Heading4"/>
              <w:jc w:val="right"/>
              <w:rPr>
                <w:b w:val="0"/>
              </w:rPr>
            </w:pPr>
          </w:p>
        </w:tc>
        <w:tc>
          <w:tcPr>
            <w:tcW w:w="1453" w:type="dxa"/>
            <w:shd w:val="clear" w:color="000000" w:fill="C0C0C0"/>
          </w:tcPr>
          <w:p w:rsidR="00B83890" w:rsidRDefault="00B83890" w:rsidP="006E6DC8">
            <w:pPr>
              <w:jc w:val="right"/>
              <w:rPr>
                <w:b/>
              </w:rPr>
            </w:pPr>
            <w:r>
              <w:rPr>
                <w:b/>
              </w:rPr>
              <w:t>2012–13</w:t>
            </w:r>
          </w:p>
        </w:tc>
        <w:tc>
          <w:tcPr>
            <w:tcW w:w="1453" w:type="dxa"/>
            <w:shd w:val="clear" w:color="000000" w:fill="E0E0E0"/>
          </w:tcPr>
          <w:p w:rsidR="00B83890" w:rsidRDefault="00B83890" w:rsidP="006E6DC8">
            <w:pPr>
              <w:jc w:val="right"/>
              <w:rPr>
                <w:b/>
              </w:rPr>
            </w:pPr>
            <w:r>
              <w:rPr>
                <w:b/>
              </w:rPr>
              <w:t>2011–12</w:t>
            </w:r>
          </w:p>
        </w:tc>
        <w:tc>
          <w:tcPr>
            <w:tcW w:w="1453" w:type="dxa"/>
            <w:shd w:val="clear" w:color="000000" w:fill="E0E0E0"/>
          </w:tcPr>
          <w:p w:rsidR="00B83890" w:rsidRDefault="00B83890" w:rsidP="006E6DC8">
            <w:pPr>
              <w:jc w:val="right"/>
              <w:rPr>
                <w:b/>
              </w:rPr>
            </w:pPr>
            <w:r>
              <w:rPr>
                <w:b/>
              </w:rPr>
              <w:t>2010–11</w:t>
            </w:r>
          </w:p>
        </w:tc>
        <w:tc>
          <w:tcPr>
            <w:tcW w:w="1453" w:type="dxa"/>
            <w:shd w:val="clear" w:color="000000" w:fill="E0E0E0"/>
          </w:tcPr>
          <w:p w:rsidR="00B83890" w:rsidRDefault="00B83890" w:rsidP="006E6DC8">
            <w:pPr>
              <w:jc w:val="right"/>
              <w:rPr>
                <w:b/>
              </w:rPr>
            </w:pPr>
            <w:r>
              <w:rPr>
                <w:b/>
              </w:rPr>
              <w:t>2009–10</w:t>
            </w:r>
          </w:p>
        </w:tc>
        <w:tc>
          <w:tcPr>
            <w:tcW w:w="1453" w:type="dxa"/>
            <w:tcBorders>
              <w:top w:val="nil"/>
            </w:tcBorders>
            <w:shd w:val="clear" w:color="000000" w:fill="E0E0E0"/>
          </w:tcPr>
          <w:p w:rsidR="00B83890" w:rsidRPr="00CF44A1" w:rsidRDefault="00B83890" w:rsidP="006E6DC8">
            <w:pPr>
              <w:jc w:val="right"/>
              <w:rPr>
                <w:b/>
              </w:rPr>
            </w:pPr>
            <w:r>
              <w:rPr>
                <w:b/>
              </w:rPr>
              <w:t>2008–09</w:t>
            </w:r>
          </w:p>
        </w:tc>
      </w:tr>
      <w:tr w:rsidR="00B83890" w:rsidTr="006E6DC8">
        <w:tc>
          <w:tcPr>
            <w:tcW w:w="5495" w:type="dxa"/>
          </w:tcPr>
          <w:p w:rsidR="00B83890" w:rsidRDefault="00B83890" w:rsidP="006E6DC8">
            <w:pPr>
              <w:rPr>
                <w:b/>
                <w:snapToGrid w:val="0"/>
                <w:lang w:eastAsia="en-US"/>
              </w:rPr>
            </w:pPr>
            <w:r>
              <w:rPr>
                <w:b/>
                <w:snapToGrid w:val="0"/>
                <w:lang w:eastAsia="en-US"/>
              </w:rPr>
              <w:t>Energy</w:t>
            </w:r>
          </w:p>
        </w:tc>
        <w:tc>
          <w:tcPr>
            <w:tcW w:w="1453" w:type="dxa"/>
            <w:shd w:val="clear" w:color="000000" w:fill="C0C0C0"/>
          </w:tcPr>
          <w:p w:rsidR="00B83890" w:rsidRDefault="00B83890" w:rsidP="006E6DC8">
            <w:pPr>
              <w:jc w:val="right"/>
              <w:rPr>
                <w:b/>
                <w:snapToGrid w:val="0"/>
                <w:lang w:eastAsia="en-US"/>
              </w:rPr>
            </w:pPr>
          </w:p>
        </w:tc>
        <w:tc>
          <w:tcPr>
            <w:tcW w:w="1453" w:type="dxa"/>
            <w:shd w:val="clear" w:color="000000" w:fill="E0E0E0"/>
          </w:tcPr>
          <w:p w:rsidR="00B83890" w:rsidRPr="00CF44A1" w:rsidRDefault="00B83890" w:rsidP="006E6DC8">
            <w:pPr>
              <w:jc w:val="right"/>
              <w:rPr>
                <w:b/>
                <w:snapToGrid w:val="0"/>
                <w:lang w:eastAsia="en-US"/>
              </w:rPr>
            </w:pPr>
          </w:p>
        </w:tc>
        <w:tc>
          <w:tcPr>
            <w:tcW w:w="1453" w:type="dxa"/>
            <w:shd w:val="clear" w:color="000000" w:fill="E0E0E0"/>
          </w:tcPr>
          <w:p w:rsidR="00B83890" w:rsidRPr="00CF44A1" w:rsidRDefault="00B83890" w:rsidP="006E6DC8">
            <w:pPr>
              <w:jc w:val="right"/>
              <w:rPr>
                <w:b/>
                <w:snapToGrid w:val="0"/>
                <w:lang w:eastAsia="en-US"/>
              </w:rPr>
            </w:pPr>
          </w:p>
        </w:tc>
        <w:tc>
          <w:tcPr>
            <w:tcW w:w="1453" w:type="dxa"/>
            <w:shd w:val="clear" w:color="000000" w:fill="E0E0E0"/>
          </w:tcPr>
          <w:p w:rsidR="00B83890" w:rsidRPr="00CF44A1" w:rsidRDefault="00B83890" w:rsidP="006E6DC8">
            <w:pPr>
              <w:jc w:val="right"/>
              <w:rPr>
                <w:b/>
                <w:snapToGrid w:val="0"/>
                <w:lang w:eastAsia="en-US"/>
              </w:rPr>
            </w:pPr>
          </w:p>
        </w:tc>
        <w:tc>
          <w:tcPr>
            <w:tcW w:w="1453" w:type="dxa"/>
            <w:tcBorders>
              <w:top w:val="single" w:sz="4" w:space="0" w:color="808080"/>
            </w:tcBorders>
            <w:shd w:val="clear" w:color="000000" w:fill="E0E0E0"/>
          </w:tcPr>
          <w:p w:rsidR="00B83890" w:rsidRPr="00CF44A1" w:rsidRDefault="00B83890" w:rsidP="006E6DC8">
            <w:pPr>
              <w:jc w:val="right"/>
              <w:rPr>
                <w:b/>
                <w:snapToGrid w:val="0"/>
                <w:lang w:eastAsia="en-US"/>
              </w:rPr>
            </w:pPr>
          </w:p>
        </w:tc>
      </w:tr>
      <w:tr w:rsidR="00B83890" w:rsidTr="006E6DC8">
        <w:tc>
          <w:tcPr>
            <w:tcW w:w="5495" w:type="dxa"/>
            <w:vAlign w:val="bottom"/>
          </w:tcPr>
          <w:p w:rsidR="00B83890" w:rsidRDefault="00B83890" w:rsidP="006E6DC8">
            <w:r>
              <w:t>Total energy consumption (gigajoules)</w:t>
            </w:r>
          </w:p>
        </w:tc>
        <w:tc>
          <w:tcPr>
            <w:tcW w:w="1453" w:type="dxa"/>
            <w:shd w:val="clear" w:color="000000" w:fill="C0C0C0"/>
          </w:tcPr>
          <w:p w:rsidR="00B83890" w:rsidRDefault="00B83890" w:rsidP="006E6DC8">
            <w:pPr>
              <w:jc w:val="right"/>
            </w:pPr>
            <w:r>
              <w:t>138,593</w:t>
            </w:r>
          </w:p>
        </w:tc>
        <w:tc>
          <w:tcPr>
            <w:tcW w:w="1453" w:type="dxa"/>
            <w:shd w:val="clear" w:color="000000" w:fill="E0E0E0"/>
          </w:tcPr>
          <w:p w:rsidR="00B83890" w:rsidRPr="0008130F" w:rsidRDefault="00B83890" w:rsidP="006E6DC8">
            <w:pPr>
              <w:jc w:val="right"/>
              <w:rPr>
                <w:rFonts w:cs="Arial"/>
              </w:rPr>
            </w:pPr>
            <w:r w:rsidRPr="0008130F">
              <w:rPr>
                <w:rFonts w:cs="Arial"/>
              </w:rPr>
              <w:t>142,372</w:t>
            </w:r>
          </w:p>
        </w:tc>
        <w:tc>
          <w:tcPr>
            <w:tcW w:w="1453" w:type="dxa"/>
            <w:shd w:val="clear" w:color="000000" w:fill="E0E0E0"/>
          </w:tcPr>
          <w:p w:rsidR="00B83890" w:rsidRDefault="00B83890" w:rsidP="006E6DC8">
            <w:pPr>
              <w:jc w:val="right"/>
            </w:pPr>
            <w:r>
              <w:t>141,042</w:t>
            </w:r>
          </w:p>
        </w:tc>
        <w:tc>
          <w:tcPr>
            <w:tcW w:w="1453" w:type="dxa"/>
            <w:shd w:val="clear" w:color="000000" w:fill="E0E0E0"/>
          </w:tcPr>
          <w:p w:rsidR="00B83890" w:rsidRDefault="00B83890" w:rsidP="006E6DC8">
            <w:pPr>
              <w:jc w:val="right"/>
            </w:pPr>
            <w:r>
              <w:t>137,023</w:t>
            </w:r>
          </w:p>
        </w:tc>
        <w:tc>
          <w:tcPr>
            <w:tcW w:w="1453" w:type="dxa"/>
            <w:tcBorders>
              <w:top w:val="single" w:sz="4" w:space="0" w:color="808080"/>
            </w:tcBorders>
            <w:shd w:val="clear" w:color="000000" w:fill="E0E0E0"/>
          </w:tcPr>
          <w:p w:rsidR="00B83890" w:rsidRPr="00CF44A1" w:rsidRDefault="00B83890" w:rsidP="006E6DC8">
            <w:pPr>
              <w:jc w:val="right"/>
            </w:pPr>
            <w:r>
              <w:t>128,674</w:t>
            </w:r>
          </w:p>
        </w:tc>
      </w:tr>
      <w:tr w:rsidR="00B83890" w:rsidTr="006E6DC8">
        <w:tc>
          <w:tcPr>
            <w:tcW w:w="5495" w:type="dxa"/>
            <w:vAlign w:val="bottom"/>
          </w:tcPr>
          <w:p w:rsidR="00B83890" w:rsidRDefault="00B83890" w:rsidP="006E6DC8">
            <w:r>
              <w:t>Greenhouse emissions associated with energy use (tonnes – CO</w:t>
            </w:r>
            <w:r>
              <w:rPr>
                <w:vertAlign w:val="subscript"/>
              </w:rPr>
              <w:t>2</w:t>
            </w:r>
            <w:r>
              <w:t>)</w:t>
            </w:r>
          </w:p>
        </w:tc>
        <w:tc>
          <w:tcPr>
            <w:tcW w:w="1453" w:type="dxa"/>
            <w:shd w:val="clear" w:color="000000" w:fill="C0C0C0"/>
            <w:vAlign w:val="bottom"/>
          </w:tcPr>
          <w:p w:rsidR="00B83890" w:rsidRDefault="00B83890" w:rsidP="006E6DC8">
            <w:pPr>
              <w:jc w:val="right"/>
            </w:pPr>
            <w:r>
              <w:t>20,784</w:t>
            </w:r>
          </w:p>
        </w:tc>
        <w:tc>
          <w:tcPr>
            <w:tcW w:w="1453" w:type="dxa"/>
            <w:shd w:val="clear" w:color="000000" w:fill="E0E0E0"/>
            <w:vAlign w:val="bottom"/>
          </w:tcPr>
          <w:p w:rsidR="00B83890" w:rsidRPr="0008130F" w:rsidRDefault="00B83890" w:rsidP="006E6DC8">
            <w:pPr>
              <w:jc w:val="right"/>
              <w:rPr>
                <w:rFonts w:cs="Arial"/>
              </w:rPr>
            </w:pPr>
            <w:r>
              <w:rPr>
                <w:rFonts w:cs="Arial"/>
              </w:rPr>
              <w:t>21,582</w:t>
            </w:r>
          </w:p>
        </w:tc>
        <w:tc>
          <w:tcPr>
            <w:tcW w:w="1453" w:type="dxa"/>
            <w:shd w:val="clear" w:color="000000" w:fill="E0E0E0"/>
            <w:vAlign w:val="bottom"/>
          </w:tcPr>
          <w:p w:rsidR="00B83890" w:rsidRDefault="00B83890" w:rsidP="006E6DC8">
            <w:pPr>
              <w:jc w:val="right"/>
            </w:pPr>
            <w:r>
              <w:t>20,927</w:t>
            </w:r>
          </w:p>
        </w:tc>
        <w:tc>
          <w:tcPr>
            <w:tcW w:w="1453" w:type="dxa"/>
            <w:shd w:val="clear" w:color="000000" w:fill="E0E0E0"/>
            <w:vAlign w:val="bottom"/>
          </w:tcPr>
          <w:p w:rsidR="00B83890" w:rsidRDefault="00B83890" w:rsidP="006E6DC8">
            <w:pPr>
              <w:jc w:val="right"/>
            </w:pPr>
            <w:r>
              <w:t>24,674</w:t>
            </w:r>
          </w:p>
        </w:tc>
        <w:tc>
          <w:tcPr>
            <w:tcW w:w="1453" w:type="dxa"/>
            <w:tcBorders>
              <w:top w:val="single" w:sz="4" w:space="0" w:color="808080"/>
            </w:tcBorders>
            <w:shd w:val="clear" w:color="000000" w:fill="E0E0E0"/>
            <w:vAlign w:val="bottom"/>
          </w:tcPr>
          <w:p w:rsidR="00B83890" w:rsidRPr="00CF44A1" w:rsidRDefault="00B83890" w:rsidP="006E6DC8">
            <w:pPr>
              <w:jc w:val="right"/>
            </w:pPr>
            <w:r>
              <w:t>25,386</w:t>
            </w:r>
          </w:p>
        </w:tc>
      </w:tr>
      <w:tr w:rsidR="00B83890" w:rsidTr="006E6DC8">
        <w:tc>
          <w:tcPr>
            <w:tcW w:w="5495" w:type="dxa"/>
            <w:vAlign w:val="bottom"/>
          </w:tcPr>
          <w:p w:rsidR="00B83890" w:rsidRDefault="00B83890" w:rsidP="006E6DC8">
            <w:r>
              <w:t xml:space="preserve">Green power purchased </w:t>
            </w:r>
          </w:p>
          <w:p w:rsidR="00B83890" w:rsidRDefault="00B83890" w:rsidP="006E6DC8">
            <w:r>
              <w:t>(</w:t>
            </w:r>
            <w:r w:rsidRPr="00231948">
              <w:rPr>
                <w:rFonts w:cs="Arial"/>
              </w:rPr>
              <w:t>%</w:t>
            </w:r>
            <w:r>
              <w:t xml:space="preserve"> of total electricity consumption) </w:t>
            </w:r>
          </w:p>
        </w:tc>
        <w:tc>
          <w:tcPr>
            <w:tcW w:w="1453" w:type="dxa"/>
            <w:shd w:val="clear" w:color="000000" w:fill="C0C0C0"/>
            <w:vAlign w:val="bottom"/>
          </w:tcPr>
          <w:p w:rsidR="00B83890" w:rsidRDefault="00B83890" w:rsidP="006E6DC8">
            <w:pPr>
              <w:jc w:val="right"/>
            </w:pPr>
            <w:r>
              <w:t>26%</w:t>
            </w:r>
          </w:p>
        </w:tc>
        <w:tc>
          <w:tcPr>
            <w:tcW w:w="1453" w:type="dxa"/>
            <w:shd w:val="clear" w:color="000000" w:fill="E0E0E0"/>
          </w:tcPr>
          <w:p w:rsidR="00B83890" w:rsidRDefault="00B83890" w:rsidP="006E6DC8">
            <w:pPr>
              <w:jc w:val="right"/>
              <w:rPr>
                <w:rFonts w:cs="Arial"/>
              </w:rPr>
            </w:pPr>
          </w:p>
          <w:p w:rsidR="00B83890" w:rsidRPr="0008130F" w:rsidRDefault="00B83890" w:rsidP="006E6DC8">
            <w:pPr>
              <w:jc w:val="right"/>
              <w:rPr>
                <w:rFonts w:cs="Arial"/>
              </w:rPr>
            </w:pPr>
            <w:r w:rsidRPr="0008130F">
              <w:rPr>
                <w:rFonts w:cs="Arial"/>
              </w:rPr>
              <w:t>26%</w:t>
            </w:r>
          </w:p>
        </w:tc>
        <w:tc>
          <w:tcPr>
            <w:tcW w:w="1453" w:type="dxa"/>
            <w:shd w:val="clear" w:color="000000" w:fill="E0E0E0"/>
            <w:vAlign w:val="bottom"/>
          </w:tcPr>
          <w:p w:rsidR="00B83890" w:rsidRDefault="00B83890" w:rsidP="006E6DC8">
            <w:pPr>
              <w:jc w:val="right"/>
            </w:pPr>
            <w:r>
              <w:t>26%</w:t>
            </w:r>
          </w:p>
        </w:tc>
        <w:tc>
          <w:tcPr>
            <w:tcW w:w="1453" w:type="dxa"/>
            <w:shd w:val="clear" w:color="000000" w:fill="E0E0E0"/>
            <w:vAlign w:val="bottom"/>
          </w:tcPr>
          <w:p w:rsidR="00B83890" w:rsidRDefault="00B83890" w:rsidP="006E6DC8">
            <w:pPr>
              <w:jc w:val="right"/>
            </w:pPr>
            <w:r>
              <w:t>15%</w:t>
            </w:r>
          </w:p>
        </w:tc>
        <w:tc>
          <w:tcPr>
            <w:tcW w:w="1453" w:type="dxa"/>
            <w:tcBorders>
              <w:top w:val="single" w:sz="4" w:space="0" w:color="808080"/>
            </w:tcBorders>
            <w:shd w:val="clear" w:color="000000" w:fill="E0E0E0"/>
            <w:vAlign w:val="bottom"/>
          </w:tcPr>
          <w:p w:rsidR="00B83890" w:rsidRPr="00CF44A1" w:rsidRDefault="00B83890" w:rsidP="006E6DC8">
            <w:pPr>
              <w:jc w:val="right"/>
            </w:pPr>
            <w:r>
              <w:t>10%</w:t>
            </w:r>
          </w:p>
        </w:tc>
      </w:tr>
      <w:tr w:rsidR="00B83890" w:rsidTr="006E6DC8">
        <w:tc>
          <w:tcPr>
            <w:tcW w:w="5495" w:type="dxa"/>
          </w:tcPr>
          <w:p w:rsidR="00B83890" w:rsidRDefault="00B83890" w:rsidP="006E6DC8">
            <w:pPr>
              <w:rPr>
                <w:b/>
                <w:snapToGrid w:val="0"/>
                <w:lang w:eastAsia="en-US"/>
              </w:rPr>
            </w:pPr>
            <w:r>
              <w:rPr>
                <w:b/>
                <w:snapToGrid w:val="0"/>
                <w:lang w:eastAsia="en-US"/>
              </w:rPr>
              <w:t>Waste</w:t>
            </w:r>
          </w:p>
        </w:tc>
        <w:tc>
          <w:tcPr>
            <w:tcW w:w="1453" w:type="dxa"/>
            <w:shd w:val="clear" w:color="000000" w:fill="C0C0C0"/>
          </w:tcPr>
          <w:p w:rsidR="00B83890" w:rsidRDefault="00B83890" w:rsidP="006E6DC8">
            <w:pPr>
              <w:jc w:val="right"/>
              <w:rPr>
                <w:b/>
              </w:rPr>
            </w:pPr>
          </w:p>
        </w:tc>
        <w:tc>
          <w:tcPr>
            <w:tcW w:w="1453" w:type="dxa"/>
            <w:shd w:val="clear" w:color="000000" w:fill="E0E0E0"/>
          </w:tcPr>
          <w:p w:rsidR="00B83890" w:rsidRPr="0008130F" w:rsidRDefault="00B83890" w:rsidP="006E6DC8">
            <w:pPr>
              <w:jc w:val="right"/>
              <w:rPr>
                <w:rFonts w:cs="Arial"/>
              </w:rPr>
            </w:pPr>
          </w:p>
        </w:tc>
        <w:tc>
          <w:tcPr>
            <w:tcW w:w="1453" w:type="dxa"/>
            <w:shd w:val="clear" w:color="000000" w:fill="E0E0E0"/>
          </w:tcPr>
          <w:p w:rsidR="00B83890" w:rsidRDefault="00B83890" w:rsidP="006E6DC8">
            <w:pPr>
              <w:jc w:val="right"/>
            </w:pPr>
          </w:p>
        </w:tc>
        <w:tc>
          <w:tcPr>
            <w:tcW w:w="1453" w:type="dxa"/>
            <w:shd w:val="clear" w:color="000000" w:fill="E0E0E0"/>
            <w:vAlign w:val="bottom"/>
          </w:tcPr>
          <w:p w:rsidR="00B83890" w:rsidRDefault="00B83890" w:rsidP="006E6DC8">
            <w:pPr>
              <w:jc w:val="right"/>
            </w:pPr>
          </w:p>
        </w:tc>
        <w:tc>
          <w:tcPr>
            <w:tcW w:w="1453" w:type="dxa"/>
            <w:tcBorders>
              <w:top w:val="single" w:sz="4" w:space="0" w:color="808080"/>
            </w:tcBorders>
            <w:shd w:val="clear" w:color="000000" w:fill="E0E0E0"/>
          </w:tcPr>
          <w:p w:rsidR="00B83890" w:rsidRPr="00CF44A1" w:rsidRDefault="00B83890" w:rsidP="006E6DC8">
            <w:pPr>
              <w:jc w:val="right"/>
              <w:rPr>
                <w:b/>
              </w:rPr>
            </w:pPr>
          </w:p>
        </w:tc>
      </w:tr>
      <w:tr w:rsidR="00B83890" w:rsidTr="006E6DC8">
        <w:tc>
          <w:tcPr>
            <w:tcW w:w="5495" w:type="dxa"/>
            <w:tcBorders>
              <w:top w:val="single" w:sz="4" w:space="0" w:color="808080"/>
              <w:bottom w:val="single" w:sz="4" w:space="0" w:color="808080"/>
              <w:right w:val="nil"/>
            </w:tcBorders>
            <w:vAlign w:val="bottom"/>
          </w:tcPr>
          <w:p w:rsidR="00B83890" w:rsidRDefault="00B83890" w:rsidP="006E6DC8">
            <w:r>
              <w:t>Percentage of total waste recycled</w:t>
            </w:r>
          </w:p>
        </w:tc>
        <w:tc>
          <w:tcPr>
            <w:tcW w:w="1453" w:type="dxa"/>
            <w:tcBorders>
              <w:top w:val="single" w:sz="4" w:space="0" w:color="808080"/>
              <w:left w:val="nil"/>
              <w:bottom w:val="single" w:sz="4" w:space="0" w:color="808080"/>
            </w:tcBorders>
            <w:shd w:val="clear" w:color="000000" w:fill="C0C0C0"/>
          </w:tcPr>
          <w:p w:rsidR="00B83890" w:rsidRDefault="00B83890" w:rsidP="006E6DC8">
            <w:pPr>
              <w:jc w:val="right"/>
            </w:pPr>
            <w:r>
              <w:t>68.55%</w:t>
            </w:r>
          </w:p>
        </w:tc>
        <w:tc>
          <w:tcPr>
            <w:tcW w:w="1453" w:type="dxa"/>
            <w:tcBorders>
              <w:top w:val="single" w:sz="4" w:space="0" w:color="808080"/>
              <w:bottom w:val="single" w:sz="4" w:space="0" w:color="808080"/>
            </w:tcBorders>
            <w:shd w:val="clear" w:color="000000" w:fill="E0E0E0"/>
          </w:tcPr>
          <w:p w:rsidR="00B83890" w:rsidRPr="0008130F" w:rsidRDefault="00B83890" w:rsidP="006E6DC8">
            <w:pPr>
              <w:jc w:val="right"/>
              <w:rPr>
                <w:rFonts w:cs="Arial"/>
                <w:snapToGrid w:val="0"/>
                <w:lang w:eastAsia="en-US"/>
              </w:rPr>
            </w:pPr>
            <w:r w:rsidRPr="0008130F">
              <w:rPr>
                <w:rFonts w:cs="Arial"/>
              </w:rPr>
              <w:t>55.30%</w:t>
            </w:r>
          </w:p>
        </w:tc>
        <w:tc>
          <w:tcPr>
            <w:tcW w:w="1453" w:type="dxa"/>
            <w:tcBorders>
              <w:top w:val="single" w:sz="4" w:space="0" w:color="808080"/>
              <w:bottom w:val="single" w:sz="4" w:space="0" w:color="808080"/>
            </w:tcBorders>
            <w:shd w:val="clear" w:color="000000" w:fill="E0E0E0"/>
          </w:tcPr>
          <w:p w:rsidR="00B83890" w:rsidRPr="00AA34E8" w:rsidRDefault="00B83890" w:rsidP="006E6DC8">
            <w:pPr>
              <w:jc w:val="right"/>
              <w:rPr>
                <w:snapToGrid w:val="0"/>
                <w:lang w:eastAsia="en-US"/>
              </w:rPr>
            </w:pPr>
            <w:r w:rsidRPr="00AA34E8">
              <w:rPr>
                <w:snapToGrid w:val="0"/>
                <w:lang w:eastAsia="en-US"/>
              </w:rPr>
              <w:t>48.70%</w:t>
            </w:r>
          </w:p>
        </w:tc>
        <w:tc>
          <w:tcPr>
            <w:tcW w:w="1453" w:type="dxa"/>
            <w:tcBorders>
              <w:top w:val="single" w:sz="4" w:space="0" w:color="808080"/>
              <w:bottom w:val="single" w:sz="4" w:space="0" w:color="808080"/>
            </w:tcBorders>
            <w:shd w:val="clear" w:color="000000" w:fill="E0E0E0"/>
          </w:tcPr>
          <w:p w:rsidR="00B83890" w:rsidRPr="00AA34E8" w:rsidRDefault="00B83890" w:rsidP="006E6DC8">
            <w:pPr>
              <w:jc w:val="right"/>
              <w:rPr>
                <w:snapToGrid w:val="0"/>
                <w:lang w:eastAsia="en-US"/>
              </w:rPr>
            </w:pPr>
            <w:r w:rsidRPr="00AA34E8">
              <w:rPr>
                <w:snapToGrid w:val="0"/>
                <w:lang w:eastAsia="en-US"/>
              </w:rPr>
              <w:t>52.98%</w:t>
            </w:r>
          </w:p>
        </w:tc>
        <w:tc>
          <w:tcPr>
            <w:tcW w:w="1453" w:type="dxa"/>
            <w:tcBorders>
              <w:top w:val="single" w:sz="4" w:space="0" w:color="808080"/>
              <w:bottom w:val="single" w:sz="4" w:space="0" w:color="808080"/>
            </w:tcBorders>
            <w:shd w:val="clear" w:color="000000" w:fill="E0E0E0"/>
          </w:tcPr>
          <w:p w:rsidR="00B83890" w:rsidRPr="00CF44A1" w:rsidRDefault="00B83890" w:rsidP="006E6DC8">
            <w:pPr>
              <w:jc w:val="right"/>
            </w:pPr>
            <w:r>
              <w:t>52.51%</w:t>
            </w:r>
          </w:p>
        </w:tc>
      </w:tr>
      <w:tr w:rsidR="00B83890" w:rsidTr="006E6DC8">
        <w:tc>
          <w:tcPr>
            <w:tcW w:w="5495" w:type="dxa"/>
            <w:tcBorders>
              <w:top w:val="single" w:sz="4" w:space="0" w:color="808080"/>
              <w:bottom w:val="single" w:sz="4" w:space="0" w:color="808080"/>
              <w:right w:val="nil"/>
            </w:tcBorders>
            <w:vAlign w:val="bottom"/>
          </w:tcPr>
          <w:p w:rsidR="00B83890" w:rsidRDefault="00B83890" w:rsidP="006E6DC8">
            <w:pPr>
              <w:rPr>
                <w:b/>
              </w:rPr>
            </w:pPr>
            <w:r>
              <w:rPr>
                <w:b/>
              </w:rPr>
              <w:t>Water</w:t>
            </w:r>
          </w:p>
        </w:tc>
        <w:tc>
          <w:tcPr>
            <w:tcW w:w="1453" w:type="dxa"/>
            <w:tcBorders>
              <w:top w:val="single" w:sz="4" w:space="0" w:color="808080"/>
              <w:left w:val="nil"/>
              <w:bottom w:val="single" w:sz="4" w:space="0" w:color="808080"/>
            </w:tcBorders>
            <w:shd w:val="clear" w:color="000000" w:fill="C0C0C0"/>
          </w:tcPr>
          <w:p w:rsidR="00B83890" w:rsidRDefault="00B83890" w:rsidP="006E6DC8">
            <w:pPr>
              <w:jc w:val="right"/>
              <w:rPr>
                <w:b/>
                <w:snapToGrid w:val="0"/>
                <w:lang w:eastAsia="en-US"/>
              </w:rPr>
            </w:pPr>
          </w:p>
        </w:tc>
        <w:tc>
          <w:tcPr>
            <w:tcW w:w="1453" w:type="dxa"/>
            <w:tcBorders>
              <w:top w:val="single" w:sz="4" w:space="0" w:color="808080"/>
              <w:bottom w:val="single" w:sz="4" w:space="0" w:color="808080"/>
            </w:tcBorders>
            <w:shd w:val="clear" w:color="000000" w:fill="E0E0E0"/>
          </w:tcPr>
          <w:p w:rsidR="00B83890" w:rsidRPr="0008130F" w:rsidRDefault="00B83890" w:rsidP="006E6DC8">
            <w:pPr>
              <w:jc w:val="right"/>
              <w:rPr>
                <w:rFonts w:cs="Arial"/>
              </w:rPr>
            </w:pPr>
          </w:p>
        </w:tc>
        <w:tc>
          <w:tcPr>
            <w:tcW w:w="1453" w:type="dxa"/>
            <w:tcBorders>
              <w:top w:val="single" w:sz="4" w:space="0" w:color="808080"/>
              <w:bottom w:val="single" w:sz="4" w:space="0" w:color="808080"/>
            </w:tcBorders>
            <w:shd w:val="clear" w:color="000000" w:fill="E0E0E0"/>
          </w:tcPr>
          <w:p w:rsidR="00B83890" w:rsidRDefault="00B83890" w:rsidP="006E6DC8">
            <w:pPr>
              <w:jc w:val="right"/>
            </w:pPr>
          </w:p>
        </w:tc>
        <w:tc>
          <w:tcPr>
            <w:tcW w:w="1453" w:type="dxa"/>
            <w:tcBorders>
              <w:top w:val="single" w:sz="4" w:space="0" w:color="808080"/>
              <w:bottom w:val="single" w:sz="4" w:space="0" w:color="808080"/>
            </w:tcBorders>
            <w:shd w:val="clear" w:color="000000" w:fill="E0E0E0"/>
          </w:tcPr>
          <w:p w:rsidR="00B83890" w:rsidRDefault="00B83890" w:rsidP="006E6DC8">
            <w:pPr>
              <w:jc w:val="right"/>
            </w:pPr>
          </w:p>
        </w:tc>
        <w:tc>
          <w:tcPr>
            <w:tcW w:w="1453" w:type="dxa"/>
            <w:tcBorders>
              <w:top w:val="single" w:sz="4" w:space="0" w:color="808080"/>
              <w:bottom w:val="single" w:sz="4" w:space="0" w:color="808080"/>
            </w:tcBorders>
            <w:shd w:val="clear" w:color="000000" w:fill="E0E0E0"/>
          </w:tcPr>
          <w:p w:rsidR="00B83890" w:rsidRPr="00CF44A1" w:rsidRDefault="00B83890" w:rsidP="006E6DC8">
            <w:pPr>
              <w:jc w:val="right"/>
              <w:rPr>
                <w:b/>
                <w:snapToGrid w:val="0"/>
                <w:lang w:eastAsia="en-US"/>
              </w:rPr>
            </w:pPr>
          </w:p>
        </w:tc>
      </w:tr>
      <w:tr w:rsidR="00B83890" w:rsidTr="006E6DC8">
        <w:tc>
          <w:tcPr>
            <w:tcW w:w="5495" w:type="dxa"/>
            <w:tcBorders>
              <w:top w:val="single" w:sz="4" w:space="0" w:color="808080"/>
              <w:bottom w:val="single" w:sz="4" w:space="0" w:color="808080"/>
              <w:right w:val="nil"/>
            </w:tcBorders>
            <w:vAlign w:val="bottom"/>
          </w:tcPr>
          <w:p w:rsidR="00B83890" w:rsidRDefault="00B83890" w:rsidP="006E6DC8">
            <w:r>
              <w:t>Water consumption (kilolitres)</w:t>
            </w:r>
          </w:p>
        </w:tc>
        <w:tc>
          <w:tcPr>
            <w:tcW w:w="1453" w:type="dxa"/>
            <w:tcBorders>
              <w:top w:val="single" w:sz="4" w:space="0" w:color="808080"/>
              <w:left w:val="nil"/>
              <w:bottom w:val="single" w:sz="4" w:space="0" w:color="808080"/>
            </w:tcBorders>
            <w:shd w:val="clear" w:color="000000" w:fill="C0C0C0"/>
          </w:tcPr>
          <w:p w:rsidR="00B83890" w:rsidRDefault="00B83890" w:rsidP="006E6DC8">
            <w:pPr>
              <w:jc w:val="right"/>
            </w:pPr>
            <w:r>
              <w:t>63,397</w:t>
            </w:r>
          </w:p>
        </w:tc>
        <w:tc>
          <w:tcPr>
            <w:tcW w:w="1453" w:type="dxa"/>
            <w:tcBorders>
              <w:top w:val="single" w:sz="4" w:space="0" w:color="808080"/>
              <w:bottom w:val="single" w:sz="4" w:space="0" w:color="808080"/>
            </w:tcBorders>
            <w:shd w:val="clear" w:color="000000" w:fill="E0E0E0"/>
          </w:tcPr>
          <w:p w:rsidR="00B83890" w:rsidRPr="0008130F" w:rsidRDefault="00B83890" w:rsidP="006E6DC8">
            <w:pPr>
              <w:jc w:val="right"/>
              <w:rPr>
                <w:rFonts w:cs="Arial"/>
              </w:rPr>
            </w:pPr>
            <w:r w:rsidRPr="0008130F">
              <w:rPr>
                <w:rFonts w:cs="Arial"/>
              </w:rPr>
              <w:t>70,808</w:t>
            </w:r>
          </w:p>
        </w:tc>
        <w:tc>
          <w:tcPr>
            <w:tcW w:w="1453" w:type="dxa"/>
            <w:tcBorders>
              <w:top w:val="single" w:sz="4" w:space="0" w:color="808080"/>
              <w:bottom w:val="single" w:sz="4" w:space="0" w:color="808080"/>
            </w:tcBorders>
            <w:shd w:val="clear" w:color="000000" w:fill="E0E0E0"/>
          </w:tcPr>
          <w:p w:rsidR="00B83890" w:rsidRDefault="00B83890" w:rsidP="006E6DC8">
            <w:pPr>
              <w:jc w:val="right"/>
            </w:pPr>
            <w:r>
              <w:t>75,107</w:t>
            </w:r>
          </w:p>
        </w:tc>
        <w:tc>
          <w:tcPr>
            <w:tcW w:w="1453" w:type="dxa"/>
            <w:tcBorders>
              <w:top w:val="single" w:sz="4" w:space="0" w:color="808080"/>
              <w:bottom w:val="single" w:sz="4" w:space="0" w:color="808080"/>
            </w:tcBorders>
            <w:shd w:val="clear" w:color="000000" w:fill="E0E0E0"/>
          </w:tcPr>
          <w:p w:rsidR="00B83890" w:rsidRDefault="00B83890" w:rsidP="006E6DC8">
            <w:pPr>
              <w:jc w:val="right"/>
            </w:pPr>
            <w:r>
              <w:t>71,045</w:t>
            </w:r>
          </w:p>
        </w:tc>
        <w:tc>
          <w:tcPr>
            <w:tcW w:w="1453" w:type="dxa"/>
            <w:tcBorders>
              <w:top w:val="single" w:sz="4" w:space="0" w:color="808080"/>
              <w:bottom w:val="single" w:sz="4" w:space="0" w:color="808080"/>
            </w:tcBorders>
            <w:shd w:val="clear" w:color="000000" w:fill="E0E0E0"/>
          </w:tcPr>
          <w:p w:rsidR="00B83890" w:rsidRPr="00CF44A1" w:rsidRDefault="00B83890" w:rsidP="006E6DC8">
            <w:pPr>
              <w:jc w:val="right"/>
            </w:pPr>
            <w:r>
              <w:t>65,618</w:t>
            </w:r>
          </w:p>
        </w:tc>
      </w:tr>
    </w:tbl>
    <w:p w:rsidR="00B83890" w:rsidRDefault="00B83890" w:rsidP="00B83890"/>
    <w:p w:rsidR="00B83890" w:rsidRPr="00CD0A50" w:rsidRDefault="00B83890" w:rsidP="00B83890"/>
    <w:p w:rsidR="00B83890" w:rsidRDefault="00B83890" w:rsidP="00B83890">
      <w:pPr>
        <w:pStyle w:val="Heading2"/>
      </w:pPr>
      <w:r>
        <w:lastRenderedPageBreak/>
        <w:t>Visitation</w:t>
      </w:r>
    </w:p>
    <w:tbl>
      <w:tblPr>
        <w:tblW w:w="12760" w:type="dxa"/>
        <w:tblBorders>
          <w:bottom w:val="single" w:sz="4" w:space="0" w:color="808080"/>
          <w:insideH w:val="single" w:sz="4" w:space="0" w:color="808080"/>
        </w:tblBorders>
        <w:tblLayout w:type="fixed"/>
        <w:tblLook w:val="0000" w:firstRow="0" w:lastRow="0" w:firstColumn="0" w:lastColumn="0" w:noHBand="0" w:noVBand="0"/>
        <w:tblCaption w:val="Visitation"/>
        <w:tblDescription w:val="Table shows visitation results for Museum Victoria's venues in 2012–13 and for prior years."/>
      </w:tblPr>
      <w:tblGrid>
        <w:gridCol w:w="5495"/>
        <w:gridCol w:w="1453"/>
        <w:gridCol w:w="1453"/>
        <w:gridCol w:w="1453"/>
        <w:gridCol w:w="1453"/>
        <w:gridCol w:w="1453"/>
      </w:tblGrid>
      <w:tr w:rsidR="00B83890" w:rsidTr="0093396F">
        <w:trPr>
          <w:tblHeader/>
        </w:trPr>
        <w:tc>
          <w:tcPr>
            <w:tcW w:w="5495" w:type="dxa"/>
          </w:tcPr>
          <w:p w:rsidR="00B83890" w:rsidRDefault="00B83890" w:rsidP="006E6DC8">
            <w:pPr>
              <w:pStyle w:val="Heading4"/>
              <w:rPr>
                <w:b w:val="0"/>
              </w:rPr>
            </w:pPr>
          </w:p>
        </w:tc>
        <w:tc>
          <w:tcPr>
            <w:tcW w:w="1453" w:type="dxa"/>
            <w:shd w:val="clear" w:color="000000" w:fill="C0C0C0"/>
          </w:tcPr>
          <w:p w:rsidR="00B83890" w:rsidRDefault="00B83890" w:rsidP="006E6DC8">
            <w:pPr>
              <w:jc w:val="right"/>
              <w:rPr>
                <w:b/>
              </w:rPr>
            </w:pPr>
            <w:r>
              <w:rPr>
                <w:b/>
              </w:rPr>
              <w:t>2012–13</w:t>
            </w:r>
          </w:p>
        </w:tc>
        <w:tc>
          <w:tcPr>
            <w:tcW w:w="1453" w:type="dxa"/>
            <w:shd w:val="clear" w:color="000000" w:fill="E0E0E0"/>
          </w:tcPr>
          <w:p w:rsidR="00B83890" w:rsidRDefault="00B83890" w:rsidP="006E6DC8">
            <w:pPr>
              <w:jc w:val="right"/>
              <w:rPr>
                <w:b/>
              </w:rPr>
            </w:pPr>
            <w:r>
              <w:rPr>
                <w:b/>
              </w:rPr>
              <w:t>2011–12</w:t>
            </w:r>
          </w:p>
        </w:tc>
        <w:tc>
          <w:tcPr>
            <w:tcW w:w="1453" w:type="dxa"/>
            <w:shd w:val="clear" w:color="000000" w:fill="E0E0E0"/>
          </w:tcPr>
          <w:p w:rsidR="00B83890" w:rsidRDefault="00B83890" w:rsidP="006E6DC8">
            <w:pPr>
              <w:jc w:val="right"/>
              <w:rPr>
                <w:b/>
              </w:rPr>
            </w:pPr>
            <w:r>
              <w:rPr>
                <w:b/>
              </w:rPr>
              <w:t>2010–11</w:t>
            </w:r>
          </w:p>
        </w:tc>
        <w:tc>
          <w:tcPr>
            <w:tcW w:w="1453" w:type="dxa"/>
            <w:tcBorders>
              <w:top w:val="nil"/>
            </w:tcBorders>
            <w:shd w:val="clear" w:color="000000" w:fill="E0E0E0"/>
          </w:tcPr>
          <w:p w:rsidR="00B83890" w:rsidRDefault="00B83890" w:rsidP="006E6DC8">
            <w:pPr>
              <w:jc w:val="right"/>
              <w:rPr>
                <w:b/>
              </w:rPr>
            </w:pPr>
            <w:r>
              <w:rPr>
                <w:b/>
              </w:rPr>
              <w:t>2009–10</w:t>
            </w:r>
          </w:p>
        </w:tc>
        <w:tc>
          <w:tcPr>
            <w:tcW w:w="1453" w:type="dxa"/>
            <w:tcBorders>
              <w:top w:val="nil"/>
            </w:tcBorders>
            <w:shd w:val="clear" w:color="000000" w:fill="E0E0E0"/>
          </w:tcPr>
          <w:p w:rsidR="00B83890" w:rsidRDefault="00B83890" w:rsidP="006E6DC8">
            <w:pPr>
              <w:jc w:val="right"/>
              <w:rPr>
                <w:b/>
              </w:rPr>
            </w:pPr>
            <w:r>
              <w:rPr>
                <w:b/>
              </w:rPr>
              <w:t>2008–09</w:t>
            </w:r>
          </w:p>
        </w:tc>
      </w:tr>
      <w:tr w:rsidR="00B83890" w:rsidTr="006E6DC8">
        <w:tc>
          <w:tcPr>
            <w:tcW w:w="5495" w:type="dxa"/>
          </w:tcPr>
          <w:p w:rsidR="00B83890" w:rsidRDefault="00B83890" w:rsidP="006E6DC8">
            <w:pPr>
              <w:rPr>
                <w:snapToGrid w:val="0"/>
                <w:lang w:eastAsia="en-US"/>
              </w:rPr>
            </w:pPr>
            <w:bookmarkStart w:id="5" w:name="_Hlk202942307"/>
            <w:r>
              <w:rPr>
                <w:snapToGrid w:val="0"/>
                <w:lang w:eastAsia="en-US"/>
              </w:rPr>
              <w:t>Immigration Museum</w:t>
            </w:r>
          </w:p>
        </w:tc>
        <w:tc>
          <w:tcPr>
            <w:tcW w:w="1453" w:type="dxa"/>
            <w:shd w:val="clear" w:color="000000" w:fill="C0C0C0"/>
          </w:tcPr>
          <w:p w:rsidR="00B83890" w:rsidRDefault="00B83890" w:rsidP="006E6DC8">
            <w:pPr>
              <w:jc w:val="right"/>
              <w:rPr>
                <w:snapToGrid w:val="0"/>
                <w:lang w:eastAsia="en-US"/>
              </w:rPr>
            </w:pPr>
            <w:r>
              <w:rPr>
                <w:snapToGrid w:val="0"/>
                <w:lang w:eastAsia="en-US"/>
              </w:rPr>
              <w:t>132,883</w:t>
            </w:r>
          </w:p>
        </w:tc>
        <w:tc>
          <w:tcPr>
            <w:tcW w:w="1453" w:type="dxa"/>
            <w:shd w:val="clear" w:color="000000" w:fill="E0E0E0"/>
          </w:tcPr>
          <w:p w:rsidR="00B83890" w:rsidRPr="0008130F" w:rsidRDefault="00B83890" w:rsidP="006E6DC8">
            <w:pPr>
              <w:jc w:val="right"/>
              <w:rPr>
                <w:rFonts w:cs="Arial"/>
                <w:snapToGrid w:val="0"/>
                <w:lang w:eastAsia="en-US"/>
              </w:rPr>
            </w:pPr>
            <w:r w:rsidRPr="0008130F">
              <w:rPr>
                <w:rFonts w:cs="Arial"/>
                <w:snapToGrid w:val="0"/>
                <w:lang w:eastAsia="en-US"/>
              </w:rPr>
              <w:t>143,054</w:t>
            </w:r>
          </w:p>
        </w:tc>
        <w:tc>
          <w:tcPr>
            <w:tcW w:w="1453" w:type="dxa"/>
            <w:shd w:val="clear" w:color="000000" w:fill="E0E0E0"/>
          </w:tcPr>
          <w:p w:rsidR="00B83890" w:rsidRDefault="00B83890" w:rsidP="006E6DC8">
            <w:pPr>
              <w:jc w:val="right"/>
              <w:rPr>
                <w:snapToGrid w:val="0"/>
                <w:lang w:eastAsia="en-US"/>
              </w:rPr>
            </w:pPr>
            <w:r>
              <w:rPr>
                <w:snapToGrid w:val="0"/>
                <w:lang w:eastAsia="en-US"/>
              </w:rPr>
              <w:t>128,350</w:t>
            </w:r>
          </w:p>
        </w:tc>
        <w:tc>
          <w:tcPr>
            <w:tcW w:w="1453" w:type="dxa"/>
            <w:tcBorders>
              <w:top w:val="single" w:sz="4" w:space="0" w:color="808080"/>
            </w:tcBorders>
            <w:shd w:val="clear" w:color="000000" w:fill="E0E0E0"/>
          </w:tcPr>
          <w:p w:rsidR="00B83890" w:rsidRDefault="00B83890" w:rsidP="006E6DC8">
            <w:pPr>
              <w:jc w:val="right"/>
              <w:rPr>
                <w:snapToGrid w:val="0"/>
                <w:lang w:eastAsia="en-US"/>
              </w:rPr>
            </w:pPr>
            <w:r>
              <w:rPr>
                <w:snapToGrid w:val="0"/>
                <w:lang w:eastAsia="en-US"/>
              </w:rPr>
              <w:t>122,571</w:t>
            </w:r>
          </w:p>
        </w:tc>
        <w:tc>
          <w:tcPr>
            <w:tcW w:w="1453" w:type="dxa"/>
            <w:tcBorders>
              <w:top w:val="single" w:sz="4" w:space="0" w:color="808080"/>
            </w:tcBorders>
            <w:shd w:val="clear" w:color="000000" w:fill="E0E0E0"/>
          </w:tcPr>
          <w:p w:rsidR="00B83890" w:rsidRDefault="00B83890" w:rsidP="006E6DC8">
            <w:pPr>
              <w:jc w:val="right"/>
              <w:rPr>
                <w:snapToGrid w:val="0"/>
                <w:lang w:eastAsia="en-US"/>
              </w:rPr>
            </w:pPr>
            <w:r>
              <w:rPr>
                <w:snapToGrid w:val="0"/>
                <w:lang w:eastAsia="en-US"/>
              </w:rPr>
              <w:t>132,127</w:t>
            </w:r>
          </w:p>
        </w:tc>
      </w:tr>
      <w:tr w:rsidR="00B83890" w:rsidTr="006E6DC8">
        <w:tc>
          <w:tcPr>
            <w:tcW w:w="5495" w:type="dxa"/>
          </w:tcPr>
          <w:p w:rsidR="00B83890" w:rsidRDefault="00B83890" w:rsidP="006E6DC8">
            <w:pPr>
              <w:rPr>
                <w:snapToGrid w:val="0"/>
                <w:lang w:eastAsia="en-US"/>
              </w:rPr>
            </w:pPr>
            <w:r>
              <w:rPr>
                <w:snapToGrid w:val="0"/>
                <w:lang w:eastAsia="en-US"/>
              </w:rPr>
              <w:t xml:space="preserve">Scienceworks </w:t>
            </w:r>
          </w:p>
        </w:tc>
        <w:tc>
          <w:tcPr>
            <w:tcW w:w="1453" w:type="dxa"/>
            <w:shd w:val="clear" w:color="000000" w:fill="C0C0C0"/>
          </w:tcPr>
          <w:p w:rsidR="00B83890" w:rsidRDefault="00B83890" w:rsidP="006E6DC8">
            <w:pPr>
              <w:jc w:val="right"/>
              <w:rPr>
                <w:snapToGrid w:val="0"/>
                <w:lang w:eastAsia="en-US"/>
              </w:rPr>
            </w:pPr>
            <w:r>
              <w:rPr>
                <w:snapToGrid w:val="0"/>
                <w:lang w:eastAsia="en-US"/>
              </w:rPr>
              <w:t>448,210</w:t>
            </w:r>
          </w:p>
        </w:tc>
        <w:tc>
          <w:tcPr>
            <w:tcW w:w="1453" w:type="dxa"/>
            <w:shd w:val="clear" w:color="000000" w:fill="E0E0E0"/>
          </w:tcPr>
          <w:p w:rsidR="00B83890" w:rsidRPr="0008130F" w:rsidRDefault="00B83890" w:rsidP="006E6DC8">
            <w:pPr>
              <w:jc w:val="right"/>
              <w:rPr>
                <w:rFonts w:cs="Arial"/>
                <w:snapToGrid w:val="0"/>
                <w:lang w:eastAsia="en-US"/>
              </w:rPr>
            </w:pPr>
            <w:r w:rsidRPr="0008130F">
              <w:rPr>
                <w:rFonts w:cs="Arial"/>
                <w:snapToGrid w:val="0"/>
                <w:lang w:eastAsia="en-US"/>
              </w:rPr>
              <w:t>482,305</w:t>
            </w:r>
          </w:p>
        </w:tc>
        <w:tc>
          <w:tcPr>
            <w:tcW w:w="1453" w:type="dxa"/>
            <w:shd w:val="clear" w:color="000000" w:fill="E0E0E0"/>
          </w:tcPr>
          <w:p w:rsidR="00B83890" w:rsidRDefault="00B83890" w:rsidP="006E6DC8">
            <w:pPr>
              <w:jc w:val="right"/>
              <w:rPr>
                <w:snapToGrid w:val="0"/>
                <w:lang w:eastAsia="en-US"/>
              </w:rPr>
            </w:pPr>
            <w:r>
              <w:rPr>
                <w:snapToGrid w:val="0"/>
                <w:lang w:eastAsia="en-US"/>
              </w:rPr>
              <w:t>447,708</w:t>
            </w:r>
          </w:p>
        </w:tc>
        <w:tc>
          <w:tcPr>
            <w:tcW w:w="1453" w:type="dxa"/>
            <w:tcBorders>
              <w:top w:val="single" w:sz="4" w:space="0" w:color="808080"/>
            </w:tcBorders>
            <w:shd w:val="clear" w:color="000000" w:fill="E0E0E0"/>
          </w:tcPr>
          <w:p w:rsidR="00B83890" w:rsidRDefault="00B83890" w:rsidP="006E6DC8">
            <w:pPr>
              <w:jc w:val="right"/>
              <w:rPr>
                <w:snapToGrid w:val="0"/>
                <w:lang w:eastAsia="en-US"/>
              </w:rPr>
            </w:pPr>
            <w:r>
              <w:rPr>
                <w:snapToGrid w:val="0"/>
                <w:lang w:eastAsia="en-US"/>
              </w:rPr>
              <w:t>538,183</w:t>
            </w:r>
          </w:p>
        </w:tc>
        <w:tc>
          <w:tcPr>
            <w:tcW w:w="1453" w:type="dxa"/>
            <w:tcBorders>
              <w:top w:val="single" w:sz="4" w:space="0" w:color="808080"/>
            </w:tcBorders>
            <w:shd w:val="clear" w:color="000000" w:fill="E0E0E0"/>
          </w:tcPr>
          <w:p w:rsidR="00B83890" w:rsidRDefault="00B83890" w:rsidP="006E6DC8">
            <w:pPr>
              <w:jc w:val="right"/>
              <w:rPr>
                <w:snapToGrid w:val="0"/>
                <w:lang w:eastAsia="en-US"/>
              </w:rPr>
            </w:pPr>
            <w:r>
              <w:rPr>
                <w:snapToGrid w:val="0"/>
                <w:lang w:eastAsia="en-US"/>
              </w:rPr>
              <w:t>418,498</w:t>
            </w:r>
          </w:p>
        </w:tc>
      </w:tr>
      <w:tr w:rsidR="00B83890" w:rsidTr="006E6DC8">
        <w:tc>
          <w:tcPr>
            <w:tcW w:w="5495" w:type="dxa"/>
          </w:tcPr>
          <w:p w:rsidR="00B83890" w:rsidRDefault="00B83890" w:rsidP="006E6DC8">
            <w:pPr>
              <w:rPr>
                <w:snapToGrid w:val="0"/>
                <w:lang w:eastAsia="en-US"/>
              </w:rPr>
            </w:pPr>
            <w:r>
              <w:rPr>
                <w:snapToGrid w:val="0"/>
                <w:lang w:eastAsia="en-US"/>
              </w:rPr>
              <w:t>Melbourne Museum</w:t>
            </w:r>
          </w:p>
        </w:tc>
        <w:tc>
          <w:tcPr>
            <w:tcW w:w="1453" w:type="dxa"/>
            <w:shd w:val="clear" w:color="000000" w:fill="C0C0C0"/>
          </w:tcPr>
          <w:p w:rsidR="00B83890" w:rsidRDefault="00B83890" w:rsidP="006E6DC8">
            <w:pPr>
              <w:jc w:val="right"/>
              <w:rPr>
                <w:snapToGrid w:val="0"/>
                <w:lang w:eastAsia="en-US"/>
              </w:rPr>
            </w:pPr>
            <w:r>
              <w:rPr>
                <w:snapToGrid w:val="0"/>
                <w:lang w:eastAsia="en-US"/>
              </w:rPr>
              <w:t>802,949</w:t>
            </w:r>
          </w:p>
        </w:tc>
        <w:tc>
          <w:tcPr>
            <w:tcW w:w="1453" w:type="dxa"/>
            <w:shd w:val="clear" w:color="000000" w:fill="E0E0E0"/>
          </w:tcPr>
          <w:p w:rsidR="00B83890" w:rsidRPr="0008130F" w:rsidRDefault="00B83890" w:rsidP="006E6DC8">
            <w:pPr>
              <w:jc w:val="right"/>
              <w:rPr>
                <w:rFonts w:cs="Arial"/>
                <w:snapToGrid w:val="0"/>
                <w:lang w:eastAsia="en-US"/>
              </w:rPr>
            </w:pPr>
            <w:r w:rsidRPr="0008130F">
              <w:rPr>
                <w:rFonts w:cs="Arial"/>
                <w:snapToGrid w:val="0"/>
                <w:lang w:eastAsia="en-US"/>
              </w:rPr>
              <w:t>1,099,546</w:t>
            </w:r>
          </w:p>
        </w:tc>
        <w:tc>
          <w:tcPr>
            <w:tcW w:w="1453" w:type="dxa"/>
            <w:shd w:val="clear" w:color="000000" w:fill="E0E0E0"/>
          </w:tcPr>
          <w:p w:rsidR="00B83890" w:rsidRDefault="00B83890" w:rsidP="006E6DC8">
            <w:pPr>
              <w:jc w:val="right"/>
              <w:rPr>
                <w:snapToGrid w:val="0"/>
                <w:lang w:eastAsia="en-US"/>
              </w:rPr>
            </w:pPr>
            <w:r>
              <w:rPr>
                <w:snapToGrid w:val="0"/>
                <w:lang w:eastAsia="en-US"/>
              </w:rPr>
              <w:t>1,428,238</w:t>
            </w:r>
          </w:p>
        </w:tc>
        <w:tc>
          <w:tcPr>
            <w:tcW w:w="1453" w:type="dxa"/>
            <w:tcBorders>
              <w:top w:val="single" w:sz="4" w:space="0" w:color="808080"/>
            </w:tcBorders>
            <w:shd w:val="clear" w:color="000000" w:fill="E0E0E0"/>
          </w:tcPr>
          <w:p w:rsidR="00B83890" w:rsidRDefault="00B83890" w:rsidP="006E6DC8">
            <w:pPr>
              <w:jc w:val="right"/>
              <w:rPr>
                <w:snapToGrid w:val="0"/>
                <w:lang w:eastAsia="en-US"/>
              </w:rPr>
            </w:pPr>
            <w:r>
              <w:rPr>
                <w:snapToGrid w:val="0"/>
                <w:lang w:eastAsia="en-US"/>
              </w:rPr>
              <w:t>1,077,773</w:t>
            </w:r>
          </w:p>
        </w:tc>
        <w:tc>
          <w:tcPr>
            <w:tcW w:w="1453" w:type="dxa"/>
            <w:tcBorders>
              <w:top w:val="single" w:sz="4" w:space="0" w:color="808080"/>
            </w:tcBorders>
            <w:shd w:val="clear" w:color="000000" w:fill="E0E0E0"/>
          </w:tcPr>
          <w:p w:rsidR="00B83890" w:rsidRDefault="00B83890" w:rsidP="006E6DC8">
            <w:pPr>
              <w:jc w:val="right"/>
              <w:rPr>
                <w:snapToGrid w:val="0"/>
                <w:lang w:eastAsia="en-US"/>
              </w:rPr>
            </w:pPr>
            <w:r>
              <w:rPr>
                <w:snapToGrid w:val="0"/>
                <w:lang w:eastAsia="en-US"/>
              </w:rPr>
              <w:t>752,268</w:t>
            </w:r>
          </w:p>
        </w:tc>
      </w:tr>
      <w:tr w:rsidR="00B83890" w:rsidTr="006E6DC8">
        <w:tc>
          <w:tcPr>
            <w:tcW w:w="5495" w:type="dxa"/>
          </w:tcPr>
          <w:p w:rsidR="00B83890" w:rsidRDefault="00B83890" w:rsidP="006E6DC8">
            <w:pPr>
              <w:rPr>
                <w:snapToGrid w:val="0"/>
                <w:lang w:eastAsia="en-US"/>
              </w:rPr>
            </w:pPr>
            <w:r>
              <w:rPr>
                <w:snapToGrid w:val="0"/>
                <w:lang w:eastAsia="en-US"/>
              </w:rPr>
              <w:t>IMAX</w:t>
            </w:r>
          </w:p>
        </w:tc>
        <w:tc>
          <w:tcPr>
            <w:tcW w:w="1453" w:type="dxa"/>
            <w:shd w:val="clear" w:color="000000" w:fill="C0C0C0"/>
          </w:tcPr>
          <w:p w:rsidR="00B83890" w:rsidRDefault="00B83890" w:rsidP="006E6DC8">
            <w:pPr>
              <w:jc w:val="right"/>
              <w:rPr>
                <w:snapToGrid w:val="0"/>
                <w:lang w:eastAsia="en-US"/>
              </w:rPr>
            </w:pPr>
            <w:r>
              <w:rPr>
                <w:snapToGrid w:val="0"/>
                <w:lang w:eastAsia="en-US"/>
              </w:rPr>
              <w:t>272,621</w:t>
            </w:r>
          </w:p>
        </w:tc>
        <w:tc>
          <w:tcPr>
            <w:tcW w:w="1453" w:type="dxa"/>
            <w:shd w:val="clear" w:color="000000" w:fill="E0E0E0"/>
          </w:tcPr>
          <w:p w:rsidR="00B83890" w:rsidRPr="0008130F" w:rsidRDefault="00B83890" w:rsidP="006E6DC8">
            <w:pPr>
              <w:jc w:val="right"/>
              <w:rPr>
                <w:rFonts w:cs="Arial"/>
                <w:snapToGrid w:val="0"/>
                <w:lang w:eastAsia="en-US"/>
              </w:rPr>
            </w:pPr>
            <w:r w:rsidRPr="0008130F">
              <w:rPr>
                <w:rFonts w:cs="Arial"/>
                <w:snapToGrid w:val="0"/>
                <w:lang w:eastAsia="en-US"/>
              </w:rPr>
              <w:t>241,943</w:t>
            </w:r>
          </w:p>
        </w:tc>
        <w:tc>
          <w:tcPr>
            <w:tcW w:w="1453" w:type="dxa"/>
            <w:shd w:val="clear" w:color="000000" w:fill="E0E0E0"/>
          </w:tcPr>
          <w:p w:rsidR="00B83890" w:rsidRDefault="00B83890" w:rsidP="006E6DC8">
            <w:pPr>
              <w:jc w:val="right"/>
              <w:rPr>
                <w:snapToGrid w:val="0"/>
                <w:lang w:eastAsia="en-US"/>
              </w:rPr>
            </w:pPr>
            <w:r>
              <w:rPr>
                <w:snapToGrid w:val="0"/>
                <w:lang w:eastAsia="en-US"/>
              </w:rPr>
              <w:t>325,262</w:t>
            </w:r>
          </w:p>
        </w:tc>
        <w:tc>
          <w:tcPr>
            <w:tcW w:w="1453" w:type="dxa"/>
            <w:tcBorders>
              <w:top w:val="single" w:sz="4" w:space="0" w:color="808080"/>
            </w:tcBorders>
            <w:shd w:val="clear" w:color="000000" w:fill="E0E0E0"/>
          </w:tcPr>
          <w:p w:rsidR="00B83890" w:rsidRDefault="00B83890" w:rsidP="006E6DC8">
            <w:pPr>
              <w:jc w:val="right"/>
              <w:rPr>
                <w:snapToGrid w:val="0"/>
                <w:lang w:eastAsia="en-US"/>
              </w:rPr>
            </w:pPr>
            <w:r>
              <w:rPr>
                <w:snapToGrid w:val="0"/>
                <w:lang w:eastAsia="en-US"/>
              </w:rPr>
              <w:t>383,700</w:t>
            </w:r>
          </w:p>
        </w:tc>
        <w:tc>
          <w:tcPr>
            <w:tcW w:w="1453" w:type="dxa"/>
            <w:tcBorders>
              <w:top w:val="single" w:sz="4" w:space="0" w:color="808080"/>
            </w:tcBorders>
            <w:shd w:val="clear" w:color="000000" w:fill="E0E0E0"/>
          </w:tcPr>
          <w:p w:rsidR="00B83890" w:rsidRDefault="00B83890" w:rsidP="006E6DC8">
            <w:pPr>
              <w:jc w:val="right"/>
              <w:rPr>
                <w:snapToGrid w:val="0"/>
                <w:lang w:eastAsia="en-US"/>
              </w:rPr>
            </w:pPr>
            <w:r>
              <w:rPr>
                <w:snapToGrid w:val="0"/>
                <w:lang w:eastAsia="en-US"/>
              </w:rPr>
              <w:t>340,008</w:t>
            </w:r>
          </w:p>
        </w:tc>
      </w:tr>
      <w:bookmarkEnd w:id="5"/>
      <w:tr w:rsidR="00B83890" w:rsidTr="006E6DC8">
        <w:tc>
          <w:tcPr>
            <w:tcW w:w="5495" w:type="dxa"/>
          </w:tcPr>
          <w:p w:rsidR="00B83890" w:rsidRDefault="00B83890" w:rsidP="006E6DC8">
            <w:pPr>
              <w:rPr>
                <w:b/>
                <w:snapToGrid w:val="0"/>
                <w:lang w:eastAsia="en-US"/>
              </w:rPr>
            </w:pPr>
            <w:r>
              <w:rPr>
                <w:b/>
                <w:snapToGrid w:val="0"/>
                <w:lang w:eastAsia="en-US"/>
              </w:rPr>
              <w:t>Total ticketed visitation</w:t>
            </w:r>
          </w:p>
        </w:tc>
        <w:tc>
          <w:tcPr>
            <w:tcW w:w="1453" w:type="dxa"/>
            <w:shd w:val="clear" w:color="000000" w:fill="C0C0C0"/>
          </w:tcPr>
          <w:p w:rsidR="00B83890" w:rsidRDefault="00B83890" w:rsidP="006E6DC8">
            <w:pPr>
              <w:jc w:val="right"/>
              <w:rPr>
                <w:b/>
                <w:snapToGrid w:val="0"/>
                <w:lang w:eastAsia="en-US"/>
              </w:rPr>
            </w:pPr>
            <w:r>
              <w:rPr>
                <w:b/>
                <w:snapToGrid w:val="0"/>
                <w:lang w:eastAsia="en-US"/>
              </w:rPr>
              <w:t>1,656,663</w:t>
            </w:r>
          </w:p>
        </w:tc>
        <w:tc>
          <w:tcPr>
            <w:tcW w:w="1453" w:type="dxa"/>
            <w:shd w:val="clear" w:color="000000" w:fill="E0E0E0"/>
          </w:tcPr>
          <w:p w:rsidR="00B83890" w:rsidRPr="0008130F" w:rsidRDefault="00B83890" w:rsidP="006E6DC8">
            <w:pPr>
              <w:jc w:val="right"/>
              <w:rPr>
                <w:rFonts w:cs="Arial"/>
                <w:b/>
                <w:snapToGrid w:val="0"/>
                <w:lang w:eastAsia="en-US"/>
              </w:rPr>
            </w:pPr>
            <w:r w:rsidRPr="0008130F">
              <w:rPr>
                <w:rFonts w:cs="Arial"/>
                <w:b/>
                <w:snapToGrid w:val="0"/>
                <w:lang w:eastAsia="en-US"/>
              </w:rPr>
              <w:t>1,966,848</w:t>
            </w:r>
          </w:p>
        </w:tc>
        <w:tc>
          <w:tcPr>
            <w:tcW w:w="1453" w:type="dxa"/>
            <w:shd w:val="clear" w:color="000000" w:fill="E0E0E0"/>
          </w:tcPr>
          <w:p w:rsidR="00B83890" w:rsidRDefault="00B83890" w:rsidP="006E6DC8">
            <w:pPr>
              <w:jc w:val="right"/>
              <w:rPr>
                <w:b/>
                <w:snapToGrid w:val="0"/>
                <w:lang w:eastAsia="en-US"/>
              </w:rPr>
            </w:pPr>
            <w:r>
              <w:rPr>
                <w:b/>
                <w:snapToGrid w:val="0"/>
                <w:lang w:eastAsia="en-US"/>
              </w:rPr>
              <w:t>2,329,558</w:t>
            </w:r>
          </w:p>
        </w:tc>
        <w:tc>
          <w:tcPr>
            <w:tcW w:w="1453" w:type="dxa"/>
            <w:tcBorders>
              <w:top w:val="single" w:sz="4" w:space="0" w:color="808080"/>
            </w:tcBorders>
            <w:shd w:val="clear" w:color="000000" w:fill="E0E0E0"/>
          </w:tcPr>
          <w:p w:rsidR="00B83890" w:rsidRDefault="00B83890" w:rsidP="006E6DC8">
            <w:pPr>
              <w:jc w:val="right"/>
              <w:rPr>
                <w:b/>
                <w:snapToGrid w:val="0"/>
                <w:lang w:eastAsia="en-US"/>
              </w:rPr>
            </w:pPr>
            <w:r>
              <w:rPr>
                <w:b/>
                <w:snapToGrid w:val="0"/>
                <w:lang w:eastAsia="en-US"/>
              </w:rPr>
              <w:t>2,122,227</w:t>
            </w:r>
          </w:p>
        </w:tc>
        <w:tc>
          <w:tcPr>
            <w:tcW w:w="1453" w:type="dxa"/>
            <w:tcBorders>
              <w:top w:val="single" w:sz="4" w:space="0" w:color="808080"/>
            </w:tcBorders>
            <w:shd w:val="clear" w:color="000000" w:fill="E0E0E0"/>
          </w:tcPr>
          <w:p w:rsidR="00B83890" w:rsidRDefault="00B83890" w:rsidP="006E6DC8">
            <w:pPr>
              <w:jc w:val="right"/>
              <w:rPr>
                <w:b/>
                <w:snapToGrid w:val="0"/>
                <w:lang w:eastAsia="en-US"/>
              </w:rPr>
            </w:pPr>
            <w:r>
              <w:rPr>
                <w:b/>
                <w:snapToGrid w:val="0"/>
                <w:lang w:eastAsia="en-US"/>
              </w:rPr>
              <w:t>1,642,901</w:t>
            </w:r>
          </w:p>
        </w:tc>
      </w:tr>
      <w:tr w:rsidR="00B83890" w:rsidTr="006E6DC8">
        <w:tc>
          <w:tcPr>
            <w:tcW w:w="5495" w:type="dxa"/>
          </w:tcPr>
          <w:p w:rsidR="00B83890" w:rsidRDefault="00B83890" w:rsidP="006E6DC8">
            <w:pPr>
              <w:rPr>
                <w:snapToGrid w:val="0"/>
                <w:lang w:eastAsia="en-US"/>
              </w:rPr>
            </w:pPr>
            <w:r>
              <w:rPr>
                <w:snapToGrid w:val="0"/>
                <w:lang w:eastAsia="en-US"/>
              </w:rPr>
              <w:t>Discovery Program</w:t>
            </w:r>
          </w:p>
        </w:tc>
        <w:tc>
          <w:tcPr>
            <w:tcW w:w="1453" w:type="dxa"/>
            <w:shd w:val="clear" w:color="000000" w:fill="C0C0C0"/>
          </w:tcPr>
          <w:p w:rsidR="00B83890" w:rsidRDefault="00B83890" w:rsidP="006E6DC8">
            <w:pPr>
              <w:jc w:val="right"/>
              <w:rPr>
                <w:snapToGrid w:val="0"/>
                <w:lang w:eastAsia="en-US"/>
              </w:rPr>
            </w:pPr>
            <w:r>
              <w:rPr>
                <w:snapToGrid w:val="0"/>
                <w:lang w:eastAsia="en-US"/>
              </w:rPr>
              <w:t>90,450</w:t>
            </w:r>
          </w:p>
        </w:tc>
        <w:tc>
          <w:tcPr>
            <w:tcW w:w="1453" w:type="dxa"/>
            <w:shd w:val="clear" w:color="000000" w:fill="E0E0E0"/>
          </w:tcPr>
          <w:p w:rsidR="00B83890" w:rsidRPr="0008130F" w:rsidRDefault="00B83890" w:rsidP="006E6DC8">
            <w:pPr>
              <w:jc w:val="right"/>
              <w:rPr>
                <w:rFonts w:cs="Arial"/>
                <w:snapToGrid w:val="0"/>
                <w:lang w:eastAsia="en-US"/>
              </w:rPr>
            </w:pPr>
            <w:r w:rsidRPr="0008130F">
              <w:rPr>
                <w:rFonts w:cs="Arial"/>
                <w:snapToGrid w:val="0"/>
                <w:lang w:eastAsia="en-US"/>
              </w:rPr>
              <w:t>104,036</w:t>
            </w:r>
          </w:p>
        </w:tc>
        <w:tc>
          <w:tcPr>
            <w:tcW w:w="1453" w:type="dxa"/>
            <w:shd w:val="clear" w:color="000000" w:fill="E0E0E0"/>
          </w:tcPr>
          <w:p w:rsidR="00B83890" w:rsidRDefault="00B83890" w:rsidP="006E6DC8">
            <w:pPr>
              <w:jc w:val="right"/>
              <w:rPr>
                <w:snapToGrid w:val="0"/>
                <w:lang w:eastAsia="en-US"/>
              </w:rPr>
            </w:pPr>
            <w:r>
              <w:rPr>
                <w:snapToGrid w:val="0"/>
                <w:lang w:eastAsia="en-US"/>
              </w:rPr>
              <w:t>78,540</w:t>
            </w:r>
          </w:p>
        </w:tc>
        <w:tc>
          <w:tcPr>
            <w:tcW w:w="1453" w:type="dxa"/>
            <w:tcBorders>
              <w:top w:val="single" w:sz="4" w:space="0" w:color="808080"/>
            </w:tcBorders>
            <w:shd w:val="clear" w:color="000000" w:fill="E0E0E0"/>
          </w:tcPr>
          <w:p w:rsidR="00B83890" w:rsidRDefault="00B83890" w:rsidP="006E6DC8">
            <w:pPr>
              <w:jc w:val="right"/>
              <w:rPr>
                <w:snapToGrid w:val="0"/>
                <w:lang w:eastAsia="en-US"/>
              </w:rPr>
            </w:pPr>
            <w:r>
              <w:rPr>
                <w:snapToGrid w:val="0"/>
                <w:lang w:eastAsia="en-US"/>
              </w:rPr>
              <w:t>89,431</w:t>
            </w:r>
          </w:p>
        </w:tc>
        <w:tc>
          <w:tcPr>
            <w:tcW w:w="1453" w:type="dxa"/>
            <w:tcBorders>
              <w:top w:val="single" w:sz="4" w:space="0" w:color="808080"/>
            </w:tcBorders>
            <w:shd w:val="clear" w:color="000000" w:fill="E0E0E0"/>
          </w:tcPr>
          <w:p w:rsidR="00B83890" w:rsidRDefault="00B83890" w:rsidP="006E6DC8">
            <w:pPr>
              <w:jc w:val="right"/>
              <w:rPr>
                <w:snapToGrid w:val="0"/>
                <w:lang w:eastAsia="en-US"/>
              </w:rPr>
            </w:pPr>
            <w:r>
              <w:rPr>
                <w:snapToGrid w:val="0"/>
                <w:lang w:eastAsia="en-US"/>
              </w:rPr>
              <w:t>85,631</w:t>
            </w:r>
          </w:p>
        </w:tc>
      </w:tr>
      <w:tr w:rsidR="00B83890" w:rsidTr="006E6DC8">
        <w:tc>
          <w:tcPr>
            <w:tcW w:w="5495" w:type="dxa"/>
          </w:tcPr>
          <w:p w:rsidR="00B83890" w:rsidRDefault="00B83890" w:rsidP="006E6DC8">
            <w:pPr>
              <w:rPr>
                <w:snapToGrid w:val="0"/>
                <w:lang w:eastAsia="en-US"/>
              </w:rPr>
            </w:pPr>
            <w:r>
              <w:rPr>
                <w:snapToGrid w:val="0"/>
                <w:lang w:eastAsia="en-US"/>
              </w:rPr>
              <w:t>Website</w:t>
            </w:r>
          </w:p>
        </w:tc>
        <w:tc>
          <w:tcPr>
            <w:tcW w:w="1453" w:type="dxa"/>
            <w:shd w:val="clear" w:color="000000" w:fill="C0C0C0"/>
          </w:tcPr>
          <w:p w:rsidR="00B83890" w:rsidRDefault="00B83890" w:rsidP="006E6DC8">
            <w:pPr>
              <w:jc w:val="right"/>
            </w:pPr>
            <w:r>
              <w:t>5,295,827</w:t>
            </w:r>
          </w:p>
        </w:tc>
        <w:tc>
          <w:tcPr>
            <w:tcW w:w="1453" w:type="dxa"/>
            <w:shd w:val="clear" w:color="000000" w:fill="E0E0E0"/>
          </w:tcPr>
          <w:p w:rsidR="00B83890" w:rsidRPr="0008130F" w:rsidRDefault="00B83890" w:rsidP="006E6DC8">
            <w:pPr>
              <w:jc w:val="right"/>
              <w:rPr>
                <w:rFonts w:cs="Arial"/>
              </w:rPr>
            </w:pPr>
            <w:r w:rsidRPr="0008130F">
              <w:rPr>
                <w:rFonts w:cs="Arial"/>
              </w:rPr>
              <w:t>4,651,649</w:t>
            </w:r>
          </w:p>
        </w:tc>
        <w:tc>
          <w:tcPr>
            <w:tcW w:w="1453" w:type="dxa"/>
            <w:shd w:val="clear" w:color="000000" w:fill="E0E0E0"/>
          </w:tcPr>
          <w:p w:rsidR="00B83890" w:rsidRDefault="00B83890" w:rsidP="006E6DC8">
            <w:pPr>
              <w:jc w:val="right"/>
            </w:pPr>
            <w:r>
              <w:t>4,606,574</w:t>
            </w:r>
          </w:p>
        </w:tc>
        <w:tc>
          <w:tcPr>
            <w:tcW w:w="1453" w:type="dxa"/>
            <w:tcBorders>
              <w:top w:val="single" w:sz="4" w:space="0" w:color="808080"/>
            </w:tcBorders>
            <w:shd w:val="clear" w:color="000000" w:fill="E0E0E0"/>
          </w:tcPr>
          <w:p w:rsidR="00B83890" w:rsidRDefault="00B83890" w:rsidP="006E6DC8">
            <w:pPr>
              <w:jc w:val="right"/>
            </w:pPr>
            <w:r>
              <w:t>8,654,273</w:t>
            </w:r>
          </w:p>
        </w:tc>
        <w:tc>
          <w:tcPr>
            <w:tcW w:w="1453" w:type="dxa"/>
            <w:tcBorders>
              <w:top w:val="single" w:sz="4" w:space="0" w:color="808080"/>
            </w:tcBorders>
            <w:shd w:val="clear" w:color="000000" w:fill="E0E0E0"/>
          </w:tcPr>
          <w:p w:rsidR="00B83890" w:rsidRDefault="00B83890" w:rsidP="006E6DC8">
            <w:pPr>
              <w:jc w:val="right"/>
              <w:rPr>
                <w:snapToGrid w:val="0"/>
                <w:lang w:eastAsia="en-US"/>
              </w:rPr>
            </w:pPr>
            <w:r>
              <w:t>5,031,564</w:t>
            </w:r>
          </w:p>
        </w:tc>
      </w:tr>
      <w:tr w:rsidR="00B83890" w:rsidTr="006E6DC8">
        <w:tc>
          <w:tcPr>
            <w:tcW w:w="5495" w:type="dxa"/>
          </w:tcPr>
          <w:p w:rsidR="00B83890" w:rsidRDefault="00B83890" w:rsidP="006E6DC8">
            <w:pPr>
              <w:rPr>
                <w:b/>
                <w:snapToGrid w:val="0"/>
                <w:lang w:eastAsia="en-US"/>
              </w:rPr>
            </w:pPr>
            <w:r>
              <w:rPr>
                <w:b/>
                <w:snapToGrid w:val="0"/>
                <w:lang w:eastAsia="en-US"/>
              </w:rPr>
              <w:t>Total off-site visitation</w:t>
            </w:r>
          </w:p>
        </w:tc>
        <w:tc>
          <w:tcPr>
            <w:tcW w:w="1453" w:type="dxa"/>
            <w:shd w:val="clear" w:color="000000" w:fill="C0C0C0"/>
          </w:tcPr>
          <w:p w:rsidR="00B83890" w:rsidRDefault="00B83890" w:rsidP="006E6DC8">
            <w:pPr>
              <w:jc w:val="right"/>
              <w:rPr>
                <w:b/>
                <w:snapToGrid w:val="0"/>
                <w:lang w:eastAsia="en-US"/>
              </w:rPr>
            </w:pPr>
            <w:r>
              <w:rPr>
                <w:b/>
                <w:snapToGrid w:val="0"/>
                <w:lang w:eastAsia="en-US"/>
              </w:rPr>
              <w:t>5,386,277</w:t>
            </w:r>
          </w:p>
        </w:tc>
        <w:tc>
          <w:tcPr>
            <w:tcW w:w="1453" w:type="dxa"/>
            <w:shd w:val="clear" w:color="000000" w:fill="E0E0E0"/>
          </w:tcPr>
          <w:p w:rsidR="00B83890" w:rsidRPr="0008130F" w:rsidRDefault="00B83890" w:rsidP="006E6DC8">
            <w:pPr>
              <w:jc w:val="right"/>
              <w:rPr>
                <w:rFonts w:cs="Arial"/>
                <w:b/>
                <w:snapToGrid w:val="0"/>
                <w:lang w:eastAsia="en-US"/>
              </w:rPr>
            </w:pPr>
            <w:r w:rsidRPr="0008130F">
              <w:rPr>
                <w:rFonts w:cs="Arial"/>
                <w:b/>
                <w:snapToGrid w:val="0"/>
                <w:lang w:eastAsia="en-US"/>
              </w:rPr>
              <w:t>4,755,685</w:t>
            </w:r>
          </w:p>
        </w:tc>
        <w:tc>
          <w:tcPr>
            <w:tcW w:w="1453" w:type="dxa"/>
            <w:shd w:val="clear" w:color="000000" w:fill="E0E0E0"/>
          </w:tcPr>
          <w:p w:rsidR="00B83890" w:rsidRDefault="00B83890" w:rsidP="006E6DC8">
            <w:pPr>
              <w:jc w:val="right"/>
              <w:rPr>
                <w:b/>
                <w:snapToGrid w:val="0"/>
                <w:lang w:eastAsia="en-US"/>
              </w:rPr>
            </w:pPr>
            <w:r>
              <w:rPr>
                <w:b/>
                <w:snapToGrid w:val="0"/>
                <w:lang w:eastAsia="en-US"/>
              </w:rPr>
              <w:t>4,685,114</w:t>
            </w:r>
          </w:p>
        </w:tc>
        <w:tc>
          <w:tcPr>
            <w:tcW w:w="1453" w:type="dxa"/>
            <w:tcBorders>
              <w:top w:val="single" w:sz="4" w:space="0" w:color="808080"/>
            </w:tcBorders>
            <w:shd w:val="clear" w:color="000000" w:fill="E0E0E0"/>
          </w:tcPr>
          <w:p w:rsidR="00B83890" w:rsidRDefault="00B83890" w:rsidP="006E6DC8">
            <w:pPr>
              <w:jc w:val="right"/>
              <w:rPr>
                <w:b/>
                <w:snapToGrid w:val="0"/>
                <w:lang w:eastAsia="en-US"/>
              </w:rPr>
            </w:pPr>
            <w:r>
              <w:rPr>
                <w:b/>
                <w:snapToGrid w:val="0"/>
                <w:lang w:eastAsia="en-US"/>
              </w:rPr>
              <w:t>8,743,704</w:t>
            </w:r>
          </w:p>
        </w:tc>
        <w:tc>
          <w:tcPr>
            <w:tcW w:w="1453" w:type="dxa"/>
            <w:tcBorders>
              <w:top w:val="single" w:sz="4" w:space="0" w:color="808080"/>
            </w:tcBorders>
            <w:shd w:val="clear" w:color="000000" w:fill="E0E0E0"/>
          </w:tcPr>
          <w:p w:rsidR="00B83890" w:rsidRDefault="00B83890" w:rsidP="006E6DC8">
            <w:pPr>
              <w:jc w:val="right"/>
              <w:rPr>
                <w:b/>
                <w:snapToGrid w:val="0"/>
                <w:lang w:eastAsia="en-US"/>
              </w:rPr>
            </w:pPr>
            <w:r>
              <w:rPr>
                <w:b/>
                <w:snapToGrid w:val="0"/>
                <w:lang w:eastAsia="en-US"/>
              </w:rPr>
              <w:t>5,117,195</w:t>
            </w:r>
          </w:p>
        </w:tc>
      </w:tr>
      <w:tr w:rsidR="00B83890" w:rsidTr="006E6DC8">
        <w:tc>
          <w:tcPr>
            <w:tcW w:w="5495" w:type="dxa"/>
            <w:tcBorders>
              <w:bottom w:val="single" w:sz="4" w:space="0" w:color="808080"/>
            </w:tcBorders>
          </w:tcPr>
          <w:p w:rsidR="00B83890" w:rsidRDefault="00B83890" w:rsidP="006E6DC8">
            <w:pPr>
              <w:rPr>
                <w:snapToGrid w:val="0"/>
                <w:lang w:eastAsia="en-US"/>
              </w:rPr>
            </w:pPr>
            <w:r>
              <w:rPr>
                <w:snapToGrid w:val="0"/>
                <w:lang w:eastAsia="en-US"/>
              </w:rPr>
              <w:t xml:space="preserve">Royal Exhibition Building </w:t>
            </w:r>
          </w:p>
        </w:tc>
        <w:tc>
          <w:tcPr>
            <w:tcW w:w="1453" w:type="dxa"/>
            <w:shd w:val="clear" w:color="000000" w:fill="C0C0C0"/>
          </w:tcPr>
          <w:p w:rsidR="00B83890" w:rsidRDefault="00B83890" w:rsidP="006E6DC8">
            <w:pPr>
              <w:jc w:val="right"/>
            </w:pPr>
            <w:r>
              <w:t>658,384</w:t>
            </w:r>
          </w:p>
        </w:tc>
        <w:tc>
          <w:tcPr>
            <w:tcW w:w="1453" w:type="dxa"/>
            <w:shd w:val="clear" w:color="000000" w:fill="E0E0E0"/>
          </w:tcPr>
          <w:p w:rsidR="00B83890" w:rsidRPr="0008130F" w:rsidRDefault="00B83890" w:rsidP="006E6DC8">
            <w:pPr>
              <w:jc w:val="right"/>
              <w:rPr>
                <w:rFonts w:cs="Arial"/>
              </w:rPr>
            </w:pPr>
            <w:r w:rsidRPr="0008130F">
              <w:rPr>
                <w:rFonts w:cs="Arial"/>
                <w:color w:val="000000"/>
              </w:rPr>
              <w:t>487,976</w:t>
            </w:r>
          </w:p>
        </w:tc>
        <w:tc>
          <w:tcPr>
            <w:tcW w:w="1453" w:type="dxa"/>
            <w:shd w:val="clear" w:color="000000" w:fill="E0E0E0"/>
          </w:tcPr>
          <w:p w:rsidR="00B83890" w:rsidRDefault="00B83890" w:rsidP="006E6DC8">
            <w:pPr>
              <w:jc w:val="right"/>
            </w:pPr>
            <w:r>
              <w:t>466,267</w:t>
            </w:r>
          </w:p>
        </w:tc>
        <w:tc>
          <w:tcPr>
            <w:tcW w:w="1453" w:type="dxa"/>
            <w:tcBorders>
              <w:top w:val="single" w:sz="4" w:space="0" w:color="808080"/>
            </w:tcBorders>
            <w:shd w:val="clear" w:color="000000" w:fill="E0E0E0"/>
          </w:tcPr>
          <w:p w:rsidR="00B83890" w:rsidRDefault="00B83890" w:rsidP="006E6DC8">
            <w:pPr>
              <w:jc w:val="right"/>
            </w:pPr>
            <w:r>
              <w:t>371,361</w:t>
            </w:r>
          </w:p>
        </w:tc>
        <w:tc>
          <w:tcPr>
            <w:tcW w:w="1453" w:type="dxa"/>
            <w:tcBorders>
              <w:top w:val="single" w:sz="4" w:space="0" w:color="808080"/>
            </w:tcBorders>
            <w:shd w:val="clear" w:color="000000" w:fill="E0E0E0"/>
          </w:tcPr>
          <w:p w:rsidR="00B83890" w:rsidRDefault="00B83890" w:rsidP="006E6DC8">
            <w:pPr>
              <w:jc w:val="right"/>
            </w:pPr>
            <w:r>
              <w:t>390,056</w:t>
            </w:r>
          </w:p>
        </w:tc>
      </w:tr>
      <w:tr w:rsidR="00B83890" w:rsidTr="006E6DC8">
        <w:tc>
          <w:tcPr>
            <w:tcW w:w="5495" w:type="dxa"/>
            <w:tcBorders>
              <w:top w:val="single" w:sz="4" w:space="0" w:color="808080"/>
              <w:bottom w:val="single" w:sz="4" w:space="0" w:color="808080"/>
              <w:right w:val="nil"/>
            </w:tcBorders>
          </w:tcPr>
          <w:p w:rsidR="00B83890" w:rsidRDefault="00B83890" w:rsidP="006E6DC8">
            <w:pPr>
              <w:rPr>
                <w:b/>
                <w:snapToGrid w:val="0"/>
                <w:lang w:eastAsia="en-US"/>
              </w:rPr>
            </w:pPr>
            <w:r>
              <w:rPr>
                <w:b/>
                <w:snapToGrid w:val="0"/>
                <w:lang w:eastAsia="en-US"/>
              </w:rPr>
              <w:t>Total visitation</w:t>
            </w:r>
          </w:p>
        </w:tc>
        <w:tc>
          <w:tcPr>
            <w:tcW w:w="1453" w:type="dxa"/>
            <w:tcBorders>
              <w:top w:val="single" w:sz="4" w:space="0" w:color="808080"/>
              <w:left w:val="nil"/>
              <w:bottom w:val="single" w:sz="4" w:space="0" w:color="808080"/>
            </w:tcBorders>
            <w:shd w:val="clear" w:color="000000" w:fill="C0C0C0"/>
          </w:tcPr>
          <w:p w:rsidR="00B83890" w:rsidRDefault="00B83890" w:rsidP="006E6DC8">
            <w:pPr>
              <w:jc w:val="right"/>
              <w:rPr>
                <w:b/>
                <w:snapToGrid w:val="0"/>
                <w:lang w:eastAsia="en-US"/>
              </w:rPr>
            </w:pPr>
            <w:r>
              <w:rPr>
                <w:b/>
                <w:snapToGrid w:val="0"/>
                <w:lang w:eastAsia="en-US"/>
              </w:rPr>
              <w:t>7,701,324</w:t>
            </w:r>
          </w:p>
        </w:tc>
        <w:tc>
          <w:tcPr>
            <w:tcW w:w="1453" w:type="dxa"/>
            <w:tcBorders>
              <w:top w:val="single" w:sz="4" w:space="0" w:color="808080"/>
              <w:bottom w:val="single" w:sz="4" w:space="0" w:color="808080"/>
            </w:tcBorders>
            <w:shd w:val="clear" w:color="000000" w:fill="E0E0E0"/>
          </w:tcPr>
          <w:p w:rsidR="00B83890" w:rsidRPr="0008130F" w:rsidRDefault="00B83890" w:rsidP="006E6DC8">
            <w:pPr>
              <w:jc w:val="right"/>
              <w:rPr>
                <w:rFonts w:cs="Arial"/>
                <w:b/>
                <w:snapToGrid w:val="0"/>
                <w:lang w:eastAsia="en-US"/>
              </w:rPr>
            </w:pPr>
            <w:r w:rsidRPr="0008130F">
              <w:rPr>
                <w:rFonts w:cs="Arial"/>
                <w:b/>
                <w:snapToGrid w:val="0"/>
                <w:lang w:eastAsia="en-US"/>
              </w:rPr>
              <w:t>7,210,509</w:t>
            </w:r>
          </w:p>
        </w:tc>
        <w:tc>
          <w:tcPr>
            <w:tcW w:w="1453" w:type="dxa"/>
            <w:tcBorders>
              <w:top w:val="single" w:sz="4" w:space="0" w:color="808080"/>
              <w:bottom w:val="single" w:sz="4" w:space="0" w:color="808080"/>
            </w:tcBorders>
            <w:shd w:val="clear" w:color="000000" w:fill="E0E0E0"/>
          </w:tcPr>
          <w:p w:rsidR="00B83890" w:rsidRDefault="00B83890" w:rsidP="006E6DC8">
            <w:pPr>
              <w:jc w:val="right"/>
              <w:rPr>
                <w:b/>
                <w:snapToGrid w:val="0"/>
                <w:lang w:eastAsia="en-US"/>
              </w:rPr>
            </w:pPr>
            <w:r>
              <w:rPr>
                <w:b/>
                <w:snapToGrid w:val="0"/>
                <w:lang w:eastAsia="en-US"/>
              </w:rPr>
              <w:t>7,480,939</w:t>
            </w:r>
          </w:p>
        </w:tc>
        <w:tc>
          <w:tcPr>
            <w:tcW w:w="1453" w:type="dxa"/>
            <w:tcBorders>
              <w:top w:val="single" w:sz="4" w:space="0" w:color="808080"/>
              <w:bottom w:val="single" w:sz="4" w:space="0" w:color="808080"/>
            </w:tcBorders>
            <w:shd w:val="clear" w:color="000000" w:fill="E0E0E0"/>
          </w:tcPr>
          <w:p w:rsidR="00B83890" w:rsidRDefault="00B83890" w:rsidP="006E6DC8">
            <w:pPr>
              <w:jc w:val="right"/>
              <w:rPr>
                <w:b/>
                <w:snapToGrid w:val="0"/>
                <w:lang w:eastAsia="en-US"/>
              </w:rPr>
            </w:pPr>
            <w:r>
              <w:rPr>
                <w:b/>
                <w:snapToGrid w:val="0"/>
                <w:lang w:eastAsia="en-US"/>
              </w:rPr>
              <w:t>11,237,292</w:t>
            </w:r>
          </w:p>
        </w:tc>
        <w:tc>
          <w:tcPr>
            <w:tcW w:w="1453" w:type="dxa"/>
            <w:tcBorders>
              <w:top w:val="single" w:sz="4" w:space="0" w:color="808080"/>
              <w:bottom w:val="single" w:sz="4" w:space="0" w:color="808080"/>
            </w:tcBorders>
            <w:shd w:val="clear" w:color="000000" w:fill="E0E0E0"/>
          </w:tcPr>
          <w:p w:rsidR="00B83890" w:rsidRDefault="00B83890" w:rsidP="006E6DC8">
            <w:pPr>
              <w:jc w:val="right"/>
              <w:rPr>
                <w:b/>
                <w:snapToGrid w:val="0"/>
                <w:lang w:eastAsia="en-US"/>
              </w:rPr>
            </w:pPr>
            <w:r>
              <w:rPr>
                <w:b/>
                <w:snapToGrid w:val="0"/>
                <w:lang w:eastAsia="en-US"/>
              </w:rPr>
              <w:t>7,150,152</w:t>
            </w:r>
          </w:p>
        </w:tc>
      </w:tr>
    </w:tbl>
    <w:p w:rsidR="00B83890" w:rsidRDefault="00B83890" w:rsidP="001442F3"/>
    <w:p w:rsidR="00B83890" w:rsidRDefault="00B83890" w:rsidP="001442F3">
      <w:r w:rsidRPr="003C7885">
        <w:t>Note</w:t>
      </w:r>
      <w:r>
        <w:t>s</w:t>
      </w:r>
      <w:r w:rsidRPr="003C7885">
        <w:t>:</w:t>
      </w:r>
      <w:r>
        <w:t xml:space="preserve"> </w:t>
      </w:r>
    </w:p>
    <w:p w:rsidR="00B83890" w:rsidRDefault="00B83890" w:rsidP="001442F3">
      <w:r>
        <w:t>Ticketed visitation varies according to the exhibition program and the availability of IMAX product.</w:t>
      </w:r>
    </w:p>
    <w:p w:rsidR="00B83890" w:rsidRDefault="00B83890" w:rsidP="001442F3">
      <w:r>
        <w:t>The Discovery Program figure includes participation in Discovery Program activities and attendances and Federation Bells performances.</w:t>
      </w:r>
    </w:p>
    <w:p w:rsidR="00B83890" w:rsidRDefault="00B83890" w:rsidP="001442F3">
      <w:pPr>
        <w:sectPr w:rsidR="00B83890">
          <w:footerReference w:type="default" r:id="rId10"/>
          <w:pgSz w:w="16838" w:h="11906" w:orient="landscape"/>
          <w:pgMar w:top="1800" w:right="1440" w:bottom="1800" w:left="1440" w:header="720" w:footer="720" w:gutter="0"/>
          <w:cols w:space="720"/>
          <w:docGrid w:linePitch="360"/>
        </w:sectPr>
      </w:pPr>
      <w:r w:rsidRPr="00882B9D">
        <w:t xml:space="preserve">The counting methodology </w:t>
      </w:r>
      <w:r>
        <w:t>for website visitation changed in 2010–11, to ensure consistency of reporting between the arts agencies.</w:t>
      </w:r>
      <w:bookmarkStart w:id="6" w:name="_Toc26930455"/>
    </w:p>
    <w:p w:rsidR="00B83890" w:rsidRPr="001442F3" w:rsidRDefault="00B83890" w:rsidP="001442F3">
      <w:pPr>
        <w:pStyle w:val="Heading1"/>
      </w:pPr>
      <w:r w:rsidRPr="001442F3">
        <w:lastRenderedPageBreak/>
        <w:t>Statement of Purpose</w:t>
      </w:r>
    </w:p>
    <w:p w:rsidR="00B83890" w:rsidRDefault="00B83890" w:rsidP="001442F3">
      <w:r>
        <w:t>We</w:t>
      </w:r>
      <w:r w:rsidRPr="00D371A9">
        <w:t xml:space="preserve"> will reach out to an increasingly diverse </w:t>
      </w:r>
      <w:r>
        <w:t>audience through our collection</w:t>
      </w:r>
      <w:r w:rsidRPr="00D371A9">
        <w:t xml:space="preserve"> and associated knowledge, using innovative programs that engage and fascinate.</w:t>
      </w:r>
      <w:r>
        <w:t xml:space="preserve"> </w:t>
      </w:r>
      <w:r w:rsidRPr="00D371A9">
        <w:t>We will contribute to our communit</w:t>
      </w:r>
      <w:r>
        <w:t>ies’</w:t>
      </w:r>
      <w:r w:rsidRPr="00D371A9">
        <w:t xml:space="preserve"> understanding of the world, and </w:t>
      </w:r>
      <w:r>
        <w:t xml:space="preserve">undertake our stewardship of the collection in a way that </w:t>
      </w:r>
      <w:r w:rsidRPr="00D371A9">
        <w:t>ensure</w:t>
      </w:r>
      <w:r>
        <w:t>s</w:t>
      </w:r>
      <w:r w:rsidRPr="00D371A9">
        <w:t xml:space="preserve"> our inheritance is augmented and passed on to future generations.</w:t>
      </w:r>
      <w:r>
        <w:t xml:space="preserve"> We will shape the future as a networked museum that fosters creativity.</w:t>
      </w:r>
    </w:p>
    <w:p w:rsidR="00B83890" w:rsidRDefault="00B83890" w:rsidP="00B83890"/>
    <w:p w:rsidR="00B83890" w:rsidRPr="001442F3" w:rsidRDefault="00B83890" w:rsidP="001442F3">
      <w:pPr>
        <w:pStyle w:val="Heading1"/>
      </w:pPr>
      <w:r w:rsidRPr="001442F3">
        <w:t>Vision</w:t>
      </w:r>
      <w:bookmarkEnd w:id="6"/>
      <w:r w:rsidRPr="001442F3">
        <w:t xml:space="preserve"> </w:t>
      </w:r>
    </w:p>
    <w:p w:rsidR="00B83890" w:rsidRDefault="00B83890" w:rsidP="00B83890">
      <w:r w:rsidRPr="00583C7F">
        <w:t>Exploring Victoria, Discovering the World</w:t>
      </w:r>
    </w:p>
    <w:p w:rsidR="00B83890" w:rsidRDefault="00B83890" w:rsidP="00B83890"/>
    <w:p w:rsidR="00B83890" w:rsidRPr="001442F3" w:rsidRDefault="00B83890" w:rsidP="001442F3">
      <w:pPr>
        <w:pStyle w:val="Heading1"/>
      </w:pPr>
      <w:r w:rsidRPr="001442F3">
        <w:t>Strategic Directions</w:t>
      </w:r>
    </w:p>
    <w:p w:rsidR="004B1BAA" w:rsidRDefault="004B1BAA" w:rsidP="004B1BAA">
      <w:pPr>
        <w:pStyle w:val="Heading2"/>
      </w:pPr>
    </w:p>
    <w:p w:rsidR="00B83890" w:rsidRPr="001442F3" w:rsidRDefault="00B83890" w:rsidP="004B1BAA">
      <w:pPr>
        <w:pStyle w:val="Heading2"/>
      </w:pPr>
      <w:r w:rsidRPr="001442F3">
        <w:t>Great Places and Spaces</w:t>
      </w:r>
    </w:p>
    <w:p w:rsidR="00B83890" w:rsidRDefault="00B83890" w:rsidP="00B83890">
      <w:pPr>
        <w:pStyle w:val="ListParagraph"/>
        <w:numPr>
          <w:ilvl w:val="0"/>
          <w:numId w:val="1"/>
        </w:numPr>
      </w:pPr>
      <w:r w:rsidRPr="00583C7F">
        <w:t>Develop and protect our iconic and heritage buildings and their precincts</w:t>
      </w:r>
    </w:p>
    <w:p w:rsidR="00B83890" w:rsidRDefault="00B83890" w:rsidP="00B83890">
      <w:pPr>
        <w:pStyle w:val="ListParagraph"/>
        <w:numPr>
          <w:ilvl w:val="0"/>
          <w:numId w:val="1"/>
        </w:numPr>
      </w:pPr>
      <w:r w:rsidRPr="00583C7F">
        <w:t>Provide an excellent standard of management for our visitor and collection facilities</w:t>
      </w:r>
    </w:p>
    <w:p w:rsidR="00B83890" w:rsidRDefault="00B83890" w:rsidP="00B83890">
      <w:pPr>
        <w:pStyle w:val="ListParagraph"/>
        <w:numPr>
          <w:ilvl w:val="0"/>
          <w:numId w:val="1"/>
        </w:numPr>
      </w:pPr>
      <w:r w:rsidRPr="00583C7F">
        <w:t xml:space="preserve">Lead the </w:t>
      </w:r>
      <w:r>
        <w:t>Collections Victoria project</w:t>
      </w:r>
      <w:r w:rsidRPr="00583C7F">
        <w:t xml:space="preserve"> to ensure a high standard of care for the </w:t>
      </w:r>
      <w:r>
        <w:t>S</w:t>
      </w:r>
      <w:r w:rsidRPr="00583C7F">
        <w:t xml:space="preserve">tate </w:t>
      </w:r>
      <w:r>
        <w:t>C</w:t>
      </w:r>
      <w:r w:rsidRPr="00583C7F">
        <w:t>ollection</w:t>
      </w:r>
    </w:p>
    <w:p w:rsidR="00B83890" w:rsidRDefault="00B83890" w:rsidP="00B83890">
      <w:pPr>
        <w:pStyle w:val="ListParagraph"/>
        <w:numPr>
          <w:ilvl w:val="0"/>
          <w:numId w:val="1"/>
        </w:numPr>
      </w:pPr>
      <w:r w:rsidRPr="00583C7F">
        <w:t>Capitalise on the history and World Heritage status of the Royal Exhibition Building precinct to create an attraction of national significance</w:t>
      </w:r>
    </w:p>
    <w:p w:rsidR="00B83890" w:rsidRPr="00583C7F" w:rsidRDefault="00B83890" w:rsidP="00B83890"/>
    <w:p w:rsidR="00B83890" w:rsidRDefault="00B83890" w:rsidP="004B1BAA">
      <w:pPr>
        <w:pStyle w:val="Heading2"/>
      </w:pPr>
      <w:r w:rsidRPr="00583C7F">
        <w:t>Research and Collections: Knowledge and Connections</w:t>
      </w:r>
    </w:p>
    <w:p w:rsidR="00B83890" w:rsidRDefault="00B83890" w:rsidP="00B83890">
      <w:pPr>
        <w:pStyle w:val="ListParagraph"/>
        <w:numPr>
          <w:ilvl w:val="0"/>
          <w:numId w:val="2"/>
        </w:numPr>
      </w:pPr>
      <w:r w:rsidRPr="00583C7F">
        <w:t>Enhance our reputation by building on our expertise and capability in areas of research that have local, national and international significance</w:t>
      </w:r>
    </w:p>
    <w:p w:rsidR="00B83890" w:rsidRDefault="00B83890" w:rsidP="00B83890">
      <w:pPr>
        <w:pStyle w:val="ListParagraph"/>
        <w:numPr>
          <w:ilvl w:val="0"/>
          <w:numId w:val="2"/>
        </w:numPr>
      </w:pPr>
      <w:r w:rsidRPr="00583C7F">
        <w:t>Extend the ways in which communities can connect with our collection and knowledge</w:t>
      </w:r>
    </w:p>
    <w:p w:rsidR="00B83890" w:rsidRDefault="00B83890" w:rsidP="00B83890">
      <w:pPr>
        <w:pStyle w:val="ListParagraph"/>
        <w:numPr>
          <w:ilvl w:val="0"/>
          <w:numId w:val="2"/>
        </w:numPr>
      </w:pPr>
      <w:r w:rsidRPr="00583C7F">
        <w:t>Continue to develop the collection as a growing resource for education and research</w:t>
      </w:r>
      <w:r>
        <w:t>,</w:t>
      </w:r>
      <w:r w:rsidRPr="00583C7F">
        <w:t xml:space="preserve"> and as a legacy for future generations</w:t>
      </w:r>
    </w:p>
    <w:p w:rsidR="00B83890" w:rsidRDefault="00B83890" w:rsidP="00B83890">
      <w:pPr>
        <w:pStyle w:val="ListParagraph"/>
        <w:numPr>
          <w:ilvl w:val="0"/>
          <w:numId w:val="2"/>
        </w:numPr>
      </w:pPr>
      <w:r w:rsidRPr="00583C7F">
        <w:t>Pursue collaborative partnerships that advance knowledge, support innovation and attract funding in both established and emerging areas of research and collecting</w:t>
      </w:r>
    </w:p>
    <w:p w:rsidR="00B83890" w:rsidRPr="00583C7F" w:rsidRDefault="00B83890" w:rsidP="00B83890"/>
    <w:p w:rsidR="00B83890" w:rsidRDefault="00B83890" w:rsidP="004B1BAA">
      <w:pPr>
        <w:pStyle w:val="Heading2"/>
      </w:pPr>
      <w:r w:rsidRPr="00583C7F">
        <w:t>Inspiring Experiences: Engagement and Learning</w:t>
      </w:r>
    </w:p>
    <w:p w:rsidR="00B83890" w:rsidRDefault="00B83890" w:rsidP="00B83890">
      <w:pPr>
        <w:pStyle w:val="ListParagraph"/>
        <w:numPr>
          <w:ilvl w:val="0"/>
          <w:numId w:val="3"/>
        </w:numPr>
      </w:pPr>
      <w:r w:rsidRPr="00583C7F">
        <w:t xml:space="preserve">Engage all Victorians through innovative exhibitions, online experiences and stimulating programs at our venues and throughout the </w:t>
      </w:r>
      <w:r>
        <w:t>s</w:t>
      </w:r>
      <w:r w:rsidRPr="00583C7F">
        <w:t>tate to increase understanding of Victoria’s place in the world</w:t>
      </w:r>
    </w:p>
    <w:p w:rsidR="00B83890" w:rsidRDefault="00B83890" w:rsidP="00B83890">
      <w:pPr>
        <w:pStyle w:val="ListParagraph"/>
        <w:numPr>
          <w:ilvl w:val="0"/>
          <w:numId w:val="3"/>
        </w:numPr>
      </w:pPr>
      <w:r w:rsidRPr="00583C7F">
        <w:t xml:space="preserve">Partner with Indigenous communities to undertake projects that promote Indigenous cultures and contribute to reconciliation </w:t>
      </w:r>
    </w:p>
    <w:p w:rsidR="00B83890" w:rsidRDefault="00B83890" w:rsidP="00B83890">
      <w:pPr>
        <w:pStyle w:val="ListParagraph"/>
        <w:numPr>
          <w:ilvl w:val="0"/>
          <w:numId w:val="3"/>
        </w:numPr>
      </w:pPr>
      <w:r w:rsidRPr="00583C7F">
        <w:t>Collaborate with diverse communities to develop programs that promote social cohesion and actively foster access</w:t>
      </w:r>
    </w:p>
    <w:p w:rsidR="00B83890" w:rsidRDefault="00B83890" w:rsidP="00B83890">
      <w:pPr>
        <w:pStyle w:val="ListParagraph"/>
        <w:numPr>
          <w:ilvl w:val="0"/>
          <w:numId w:val="3"/>
        </w:numPr>
      </w:pPr>
      <w:r w:rsidRPr="00583C7F">
        <w:t>Position Museum Victoria as a learning specialist, building on our strengths in areas such as science literacy, values education and early childhood development</w:t>
      </w:r>
    </w:p>
    <w:p w:rsidR="00B83890" w:rsidRPr="00583C7F" w:rsidRDefault="00B83890" w:rsidP="00B83890"/>
    <w:p w:rsidR="00B83890" w:rsidRDefault="00B83890" w:rsidP="004B1BAA">
      <w:pPr>
        <w:pStyle w:val="Heading2"/>
      </w:pPr>
      <w:r w:rsidRPr="00583C7F">
        <w:t>Innovative People, Creative Museum</w:t>
      </w:r>
    </w:p>
    <w:p w:rsidR="00B83890" w:rsidRDefault="00B83890" w:rsidP="00C14C5D">
      <w:pPr>
        <w:pStyle w:val="ListParagraph"/>
        <w:numPr>
          <w:ilvl w:val="0"/>
          <w:numId w:val="28"/>
        </w:numPr>
        <w:ind w:left="426" w:hanging="426"/>
      </w:pPr>
      <w:r w:rsidRPr="00583C7F">
        <w:t>Attract, develop and retain people with the skills and capability to build a culture of innovation</w:t>
      </w:r>
    </w:p>
    <w:p w:rsidR="00B83890" w:rsidRDefault="00B83890" w:rsidP="00C14C5D">
      <w:pPr>
        <w:pStyle w:val="ListParagraph"/>
        <w:numPr>
          <w:ilvl w:val="0"/>
          <w:numId w:val="28"/>
        </w:numPr>
        <w:ind w:left="426" w:hanging="426"/>
      </w:pPr>
      <w:r w:rsidRPr="00583C7F">
        <w:t>Develop an adaptable and agile organisation that is responsive to change</w:t>
      </w:r>
    </w:p>
    <w:p w:rsidR="00B83890" w:rsidRDefault="00B83890" w:rsidP="00C14C5D">
      <w:pPr>
        <w:pStyle w:val="ListParagraph"/>
        <w:numPr>
          <w:ilvl w:val="0"/>
          <w:numId w:val="28"/>
        </w:numPr>
        <w:ind w:left="426" w:hanging="426"/>
      </w:pPr>
      <w:r w:rsidRPr="00583C7F">
        <w:t>Strengthen the networked museum by encouraging a collaborative and integrated approach to everything we do</w:t>
      </w:r>
    </w:p>
    <w:p w:rsidR="00B83890" w:rsidRDefault="00B83890" w:rsidP="00C14C5D">
      <w:pPr>
        <w:pStyle w:val="ListParagraph"/>
        <w:numPr>
          <w:ilvl w:val="0"/>
          <w:numId w:val="28"/>
        </w:numPr>
        <w:ind w:left="426" w:hanging="426"/>
      </w:pPr>
      <w:r w:rsidRPr="00583C7F">
        <w:t>Design and implement efficient business systems and processes to support creativity and innovation</w:t>
      </w:r>
    </w:p>
    <w:p w:rsidR="00B83890" w:rsidRPr="00583C7F" w:rsidRDefault="00B83890" w:rsidP="00751B3E">
      <w:pPr>
        <w:ind w:left="426" w:hanging="426"/>
      </w:pPr>
    </w:p>
    <w:p w:rsidR="00B83890" w:rsidRDefault="00B83890" w:rsidP="004B1BAA">
      <w:pPr>
        <w:pStyle w:val="Heading2"/>
      </w:pPr>
      <w:r w:rsidRPr="00583C7F">
        <w:lastRenderedPageBreak/>
        <w:t>Visibility and Reputation</w:t>
      </w:r>
    </w:p>
    <w:p w:rsidR="00B83890" w:rsidRDefault="00B83890" w:rsidP="00C14C5D">
      <w:pPr>
        <w:pStyle w:val="ListParagraph"/>
        <w:numPr>
          <w:ilvl w:val="0"/>
          <w:numId w:val="4"/>
        </w:numPr>
      </w:pPr>
      <w:r w:rsidRPr="00583C7F">
        <w:t>Position Museum Victoria as a museum of which all Victorians can be proud</w:t>
      </w:r>
    </w:p>
    <w:p w:rsidR="00B83890" w:rsidRDefault="00B83890" w:rsidP="00C14C5D">
      <w:pPr>
        <w:pStyle w:val="ListParagraph"/>
        <w:numPr>
          <w:ilvl w:val="0"/>
          <w:numId w:val="4"/>
        </w:numPr>
      </w:pPr>
      <w:r w:rsidRPr="00583C7F">
        <w:t>Enhance our national and international reputation as a leader in the museum sector through the pursuit of excellence in all our activities</w:t>
      </w:r>
    </w:p>
    <w:p w:rsidR="00B83890" w:rsidRDefault="00B83890" w:rsidP="00C14C5D">
      <w:pPr>
        <w:pStyle w:val="ListParagraph"/>
        <w:numPr>
          <w:ilvl w:val="0"/>
          <w:numId w:val="4"/>
        </w:numPr>
      </w:pPr>
      <w:r w:rsidRPr="00583C7F">
        <w:t>Raise awareness of the quality and breadth of Museum Victoria’s family of brands</w:t>
      </w:r>
    </w:p>
    <w:p w:rsidR="00B83890" w:rsidRDefault="00B83890" w:rsidP="00C14C5D">
      <w:pPr>
        <w:pStyle w:val="ListParagraph"/>
        <w:numPr>
          <w:ilvl w:val="0"/>
          <w:numId w:val="4"/>
        </w:numPr>
      </w:pPr>
      <w:r w:rsidRPr="00583C7F">
        <w:t>Maximise our potential as a group of significant Victorian tourist attractions</w:t>
      </w:r>
    </w:p>
    <w:p w:rsidR="00B83890" w:rsidRPr="00583C7F" w:rsidRDefault="00B83890" w:rsidP="00B83890"/>
    <w:p w:rsidR="00B83890" w:rsidRDefault="00B83890" w:rsidP="004B1BAA">
      <w:pPr>
        <w:pStyle w:val="Heading2"/>
      </w:pPr>
      <w:r w:rsidRPr="00583C7F">
        <w:t>Environmental Responsibility</w:t>
      </w:r>
    </w:p>
    <w:p w:rsidR="00B83890" w:rsidRDefault="00B83890" w:rsidP="00C14C5D">
      <w:pPr>
        <w:pStyle w:val="ListParagraph"/>
        <w:numPr>
          <w:ilvl w:val="0"/>
          <w:numId w:val="5"/>
        </w:numPr>
      </w:pPr>
      <w:r w:rsidRPr="00583C7F">
        <w:t>Promote Museum Victoria as an authoritative source of information about the effects of climate change on biodiversity, environments and human societies</w:t>
      </w:r>
    </w:p>
    <w:p w:rsidR="00B83890" w:rsidRDefault="00B83890" w:rsidP="00C14C5D">
      <w:pPr>
        <w:pStyle w:val="ListParagraph"/>
        <w:numPr>
          <w:ilvl w:val="0"/>
          <w:numId w:val="5"/>
        </w:numPr>
      </w:pPr>
      <w:r w:rsidRPr="00583C7F">
        <w:t xml:space="preserve">Contribute to community wellbeing by increasing public awareness about issues regarding sustainability </w:t>
      </w:r>
    </w:p>
    <w:p w:rsidR="00B83890" w:rsidRDefault="00B83890" w:rsidP="00C14C5D">
      <w:pPr>
        <w:pStyle w:val="ListParagraph"/>
        <w:numPr>
          <w:ilvl w:val="0"/>
          <w:numId w:val="5"/>
        </w:numPr>
      </w:pPr>
      <w:r w:rsidRPr="00583C7F">
        <w:t xml:space="preserve">Promote and implement eco-sustainable practices within the </w:t>
      </w:r>
      <w:r>
        <w:t>m</w:t>
      </w:r>
      <w:r w:rsidRPr="00583C7F">
        <w:t xml:space="preserve">useum </w:t>
      </w:r>
    </w:p>
    <w:p w:rsidR="00B83890" w:rsidRDefault="00B83890" w:rsidP="00C14C5D">
      <w:pPr>
        <w:pStyle w:val="ListParagraph"/>
        <w:numPr>
          <w:ilvl w:val="0"/>
          <w:numId w:val="5"/>
        </w:numPr>
      </w:pPr>
      <w:r w:rsidRPr="00583C7F">
        <w:t>Invest to improve our facilities to reduce our impact on the environment and to become a flagship for environmental responsibility</w:t>
      </w:r>
    </w:p>
    <w:p w:rsidR="00B83890" w:rsidRPr="00583C7F" w:rsidRDefault="00B83890" w:rsidP="00B83890"/>
    <w:p w:rsidR="00B83890" w:rsidRPr="004B1BAA" w:rsidRDefault="00B83890" w:rsidP="004B1BAA">
      <w:pPr>
        <w:pStyle w:val="Heading2"/>
      </w:pPr>
      <w:r w:rsidRPr="004B1BAA">
        <w:t>Strategic Enablers</w:t>
      </w:r>
    </w:p>
    <w:p w:rsidR="00B83890" w:rsidRDefault="00B83890" w:rsidP="00B83890">
      <w:r w:rsidRPr="00583C7F">
        <w:t>Successful implementation of the 2008</w:t>
      </w:r>
      <w:r>
        <w:t>–</w:t>
      </w:r>
      <w:r w:rsidRPr="00583C7F">
        <w:t>13 strategic plan is dependent upon the following enablers:</w:t>
      </w:r>
    </w:p>
    <w:p w:rsidR="00B83890" w:rsidRDefault="00B83890" w:rsidP="00B83890"/>
    <w:p w:rsidR="00B83890" w:rsidRPr="004B1BAA" w:rsidRDefault="00B83890" w:rsidP="004B1BAA">
      <w:pPr>
        <w:pStyle w:val="Heading3"/>
      </w:pPr>
      <w:r w:rsidRPr="004B1BAA">
        <w:t>Maximising Resources</w:t>
      </w:r>
    </w:p>
    <w:p w:rsidR="00B83890" w:rsidRDefault="00B83890" w:rsidP="00B83890"/>
    <w:p w:rsidR="00B83890" w:rsidRPr="004B1BAA" w:rsidRDefault="00B83890" w:rsidP="004B1BAA">
      <w:pPr>
        <w:pStyle w:val="Heading3"/>
      </w:pPr>
      <w:r w:rsidRPr="004B1BAA">
        <w:t>Practising Good Governance</w:t>
      </w:r>
    </w:p>
    <w:p w:rsidR="00B83890" w:rsidRDefault="00B83890" w:rsidP="000A7F62"/>
    <w:p w:rsidR="00B83890" w:rsidRDefault="00B83890" w:rsidP="000A7F62">
      <w:r>
        <w:t>A new strategic plan for 2013–18 comes into effect on 1 July 2013.</w:t>
      </w:r>
    </w:p>
    <w:p w:rsidR="00B83890" w:rsidRDefault="00B83890" w:rsidP="000A7F62"/>
    <w:p w:rsidR="00751B3E" w:rsidRDefault="00751B3E">
      <w:pPr>
        <w:keepNext w:val="0"/>
        <w:spacing w:after="200" w:line="276" w:lineRule="auto"/>
        <w:outlineLvl w:val="9"/>
      </w:pPr>
      <w:r>
        <w:br w:type="page"/>
      </w:r>
    </w:p>
    <w:p w:rsidR="00B83890" w:rsidRDefault="00B83890" w:rsidP="00751B3E">
      <w:pPr>
        <w:pStyle w:val="Heading1"/>
      </w:pPr>
      <w:r w:rsidRPr="00605780">
        <w:lastRenderedPageBreak/>
        <w:t>Strategic Direction 1</w:t>
      </w:r>
    </w:p>
    <w:p w:rsidR="00B83890" w:rsidRDefault="00B83890" w:rsidP="00751B3E">
      <w:pPr>
        <w:pStyle w:val="Heading1"/>
      </w:pPr>
      <w:r w:rsidRPr="00605780">
        <w:t>Great Places and Spaces</w:t>
      </w:r>
    </w:p>
    <w:p w:rsidR="00B83890" w:rsidRDefault="00B83890" w:rsidP="000A7F62"/>
    <w:p w:rsidR="00B83890" w:rsidRDefault="00B83890" w:rsidP="00B83890">
      <w:pPr>
        <w:pStyle w:val="Heading2"/>
      </w:pPr>
      <w:r w:rsidRPr="00976B9F">
        <w:t>Developing and Protecting Our Buildings</w:t>
      </w:r>
    </w:p>
    <w:p w:rsidR="00B83890" w:rsidRDefault="00B83890" w:rsidP="00B83890">
      <w:r>
        <w:t>Support from the Arts and Cultural Facilities Maintenance Fund</w:t>
      </w:r>
      <w:r w:rsidRPr="001F43DC">
        <w:t xml:space="preserve"> </w:t>
      </w:r>
      <w:r>
        <w:t>enabled Museum Victoria to undertake</w:t>
      </w:r>
      <w:r w:rsidRPr="002806DF">
        <w:t xml:space="preserve"> remedial </w:t>
      </w:r>
      <w:r>
        <w:t xml:space="preserve">works </w:t>
      </w:r>
      <w:r w:rsidRPr="002806DF">
        <w:t xml:space="preserve">and upgrade </w:t>
      </w:r>
      <w:r>
        <w:t>facilities</w:t>
      </w:r>
      <w:r w:rsidRPr="002806DF">
        <w:t xml:space="preserve"> to maintain a safe environment for </w:t>
      </w:r>
      <w:r>
        <w:t>staff, volunteers and the public</w:t>
      </w:r>
      <w:r w:rsidRPr="002806DF">
        <w:t>.</w:t>
      </w:r>
    </w:p>
    <w:p w:rsidR="00B83890" w:rsidRDefault="00B83890" w:rsidP="00B83890"/>
    <w:p w:rsidR="00B83890" w:rsidRDefault="00B83890" w:rsidP="00B83890">
      <w:r w:rsidRPr="00584048">
        <w:t xml:space="preserve">At </w:t>
      </w:r>
      <w:r>
        <w:t xml:space="preserve">the </w:t>
      </w:r>
      <w:r w:rsidRPr="00584048">
        <w:t>Immigration Museum, a number of improvement projects commenced or were</w:t>
      </w:r>
      <w:r>
        <w:t xml:space="preserve"> completed during the year, including: </w:t>
      </w:r>
    </w:p>
    <w:p w:rsidR="00B83890" w:rsidRPr="009B0FE2" w:rsidRDefault="00B83890" w:rsidP="00C14C5D">
      <w:pPr>
        <w:pStyle w:val="ListParagraph"/>
        <w:numPr>
          <w:ilvl w:val="0"/>
          <w:numId w:val="13"/>
        </w:numPr>
      </w:pPr>
      <w:r w:rsidRPr="009B0FE2">
        <w:t xml:space="preserve">upgrade and modification of the Tribute Fountain </w:t>
      </w:r>
    </w:p>
    <w:p w:rsidR="00B83890" w:rsidRDefault="00B83890" w:rsidP="00C14C5D">
      <w:pPr>
        <w:pStyle w:val="ListParagraph"/>
        <w:numPr>
          <w:ilvl w:val="0"/>
          <w:numId w:val="13"/>
        </w:numPr>
      </w:pPr>
      <w:r w:rsidRPr="009B0FE2">
        <w:t xml:space="preserve">roof refurbishment works </w:t>
      </w:r>
    </w:p>
    <w:p w:rsidR="00B83890" w:rsidRPr="00D466FA" w:rsidRDefault="00B83890" w:rsidP="00C14C5D">
      <w:pPr>
        <w:pStyle w:val="ListParagraph"/>
        <w:numPr>
          <w:ilvl w:val="0"/>
          <w:numId w:val="13"/>
        </w:numPr>
      </w:pPr>
      <w:r w:rsidRPr="00D466FA">
        <w:t>r</w:t>
      </w:r>
      <w:r>
        <w:t xml:space="preserve">emediation </w:t>
      </w:r>
      <w:r w:rsidRPr="00D466FA">
        <w:t>of gallery floor areas.</w:t>
      </w:r>
    </w:p>
    <w:p w:rsidR="00B83890" w:rsidRPr="002806DF" w:rsidRDefault="00B83890" w:rsidP="00B83890"/>
    <w:p w:rsidR="00B83890" w:rsidRPr="002806DF" w:rsidRDefault="00B83890" w:rsidP="00B83890">
      <w:r>
        <w:t>At IMAX Melbourne Museum, t</w:t>
      </w:r>
      <w:r w:rsidRPr="002806DF">
        <w:t xml:space="preserve">he projector </w:t>
      </w:r>
      <w:r>
        <w:t xml:space="preserve">and sound </w:t>
      </w:r>
      <w:r w:rsidRPr="002806DF">
        <w:t>system</w:t>
      </w:r>
      <w:r>
        <w:t>s</w:t>
      </w:r>
      <w:r w:rsidRPr="002806DF">
        <w:t xml:space="preserve"> </w:t>
      </w:r>
      <w:r>
        <w:t xml:space="preserve">were upgraded, enabling improvements to the </w:t>
      </w:r>
      <w:r w:rsidRPr="002806DF">
        <w:t>projection room</w:t>
      </w:r>
      <w:r>
        <w:t xml:space="preserve"> and</w:t>
      </w:r>
      <w:r w:rsidRPr="002806DF">
        <w:t xml:space="preserve"> </w:t>
      </w:r>
      <w:r>
        <w:t xml:space="preserve">theatre access, and enhanced flexibility in the programming of films. </w:t>
      </w:r>
      <w:r w:rsidRPr="002806DF">
        <w:t>Works included modification of fire</w:t>
      </w:r>
      <w:r>
        <w:t>-</w:t>
      </w:r>
      <w:r w:rsidRPr="002806DF">
        <w:t>protection systems in the projection room, suppl</w:t>
      </w:r>
      <w:r>
        <w:t>y and installation of heating, ventilation and air-conditioning;</w:t>
      </w:r>
      <w:r w:rsidRPr="002806DF">
        <w:t xml:space="preserve"> filters for existing and new projectors</w:t>
      </w:r>
      <w:r>
        <w:t>;</w:t>
      </w:r>
      <w:r w:rsidRPr="002806DF">
        <w:t xml:space="preserve"> and upgrad</w:t>
      </w:r>
      <w:r>
        <w:t>ing</w:t>
      </w:r>
      <w:r w:rsidRPr="002806DF">
        <w:t xml:space="preserve"> electrical systems for new projectors.</w:t>
      </w:r>
    </w:p>
    <w:p w:rsidR="00B83890" w:rsidRPr="00DE23B3" w:rsidRDefault="00B83890" w:rsidP="00B83890"/>
    <w:p w:rsidR="00B83890" w:rsidRDefault="00B83890" w:rsidP="00B83890">
      <w:pPr>
        <w:pStyle w:val="Heading2"/>
      </w:pPr>
      <w:r w:rsidRPr="00605780">
        <w:t>Managing Our Collection and Visitor Facilities</w:t>
      </w:r>
    </w:p>
    <w:p w:rsidR="00B83890" w:rsidRDefault="00B83890" w:rsidP="00B83890">
      <w:r w:rsidRPr="0043069F">
        <w:t xml:space="preserve">Museum Victoria </w:t>
      </w:r>
      <w:r>
        <w:t>has</w:t>
      </w:r>
      <w:r w:rsidRPr="0043069F">
        <w:t xml:space="preserve"> develop</w:t>
      </w:r>
      <w:r>
        <w:t>ed</w:t>
      </w:r>
      <w:r w:rsidRPr="0043069F">
        <w:t xml:space="preserve"> a new gallery control system named ‘Nodel’</w:t>
      </w:r>
      <w:r>
        <w:t>,</w:t>
      </w:r>
      <w:r w:rsidRPr="0043069F">
        <w:t xml:space="preserve"> in conjunction with a Victorian company.</w:t>
      </w:r>
      <w:r>
        <w:t xml:space="preserve"> The system is based on an </w:t>
      </w:r>
      <w:r w:rsidRPr="0043069F">
        <w:t>open</w:t>
      </w:r>
      <w:r>
        <w:t>-</w:t>
      </w:r>
      <w:r w:rsidRPr="0043069F">
        <w:t xml:space="preserve">source software solution for the new media and venue management system for museums, and </w:t>
      </w:r>
      <w:r>
        <w:t xml:space="preserve">it is creating </w:t>
      </w:r>
      <w:r w:rsidRPr="0043069F">
        <w:t>interest in the global museum community.</w:t>
      </w:r>
      <w:r>
        <w:t xml:space="preserve"> </w:t>
      </w:r>
      <w:r w:rsidRPr="0043069F">
        <w:t xml:space="preserve">The system will </w:t>
      </w:r>
      <w:r>
        <w:t>be</w:t>
      </w:r>
      <w:r w:rsidRPr="0043069F">
        <w:t xml:space="preserve"> commission</w:t>
      </w:r>
      <w:r>
        <w:t>ed for</w:t>
      </w:r>
      <w:r w:rsidRPr="0043069F">
        <w:t xml:space="preserve"> the</w:t>
      </w:r>
      <w:r>
        <w:t xml:space="preserve"> exhibitions</w:t>
      </w:r>
      <w:r w:rsidRPr="0043069F">
        <w:t xml:space="preserve"> </w:t>
      </w:r>
      <w:r w:rsidRPr="0043069F">
        <w:rPr>
          <w:i/>
        </w:rPr>
        <w:t>First Peoples</w:t>
      </w:r>
      <w:r w:rsidRPr="0043069F">
        <w:t xml:space="preserve"> and </w:t>
      </w:r>
      <w:r w:rsidRPr="0043069F">
        <w:rPr>
          <w:i/>
        </w:rPr>
        <w:t>Think Ahead</w:t>
      </w:r>
      <w:r>
        <w:t xml:space="preserve">, </w:t>
      </w:r>
      <w:r w:rsidRPr="0043069F">
        <w:t>open</w:t>
      </w:r>
      <w:r>
        <w:t>ing</w:t>
      </w:r>
      <w:r w:rsidRPr="0043069F">
        <w:t xml:space="preserve"> in 2013</w:t>
      </w:r>
      <w:r>
        <w:t>. It will</w:t>
      </w:r>
      <w:r w:rsidRPr="0043069F">
        <w:t xml:space="preserve"> then be rolled out to support existing and future exhibitions across Museum Victoria.</w:t>
      </w:r>
    </w:p>
    <w:p w:rsidR="00B83890" w:rsidRDefault="00B83890" w:rsidP="00B83890"/>
    <w:p w:rsidR="00B83890" w:rsidRPr="002806DF" w:rsidRDefault="00B83890" w:rsidP="00B83890">
      <w:r w:rsidRPr="002806DF">
        <w:t>Visitor parking has been improved at Scienceworks</w:t>
      </w:r>
      <w:r>
        <w:t>,</w:t>
      </w:r>
      <w:r w:rsidRPr="002806DF">
        <w:t xml:space="preserve"> with the construction of an overflow parking facility on the former ACI site. The car</w:t>
      </w:r>
      <w:r>
        <w:t xml:space="preserve"> </w:t>
      </w:r>
      <w:r w:rsidRPr="002806DF">
        <w:t xml:space="preserve">park is open during peak visitation periods and provides an additional 174 spaces. This facility has been welcomed by visitors as a safe and convenient alternative to </w:t>
      </w:r>
      <w:r>
        <w:t xml:space="preserve">the </w:t>
      </w:r>
      <w:r w:rsidRPr="002806DF">
        <w:t>limited street parking</w:t>
      </w:r>
      <w:r>
        <w:t xml:space="preserve"> available near the venue</w:t>
      </w:r>
      <w:r w:rsidRPr="002806DF">
        <w:t xml:space="preserve">. </w:t>
      </w:r>
    </w:p>
    <w:p w:rsidR="00B83890" w:rsidRDefault="00B83890" w:rsidP="00B83890"/>
    <w:p w:rsidR="00B83890" w:rsidRPr="00677DA4" w:rsidRDefault="00B83890" w:rsidP="00B83890">
      <w:r>
        <w:t xml:space="preserve">In May 2013, </w:t>
      </w:r>
      <w:r w:rsidRPr="00677DA4">
        <w:t>new specialised, environmentally</w:t>
      </w:r>
      <w:r>
        <w:t xml:space="preserve"> </w:t>
      </w:r>
      <w:r w:rsidRPr="00677DA4">
        <w:t>friendly digital projectors and a superior 7.1 surround sound system</w:t>
      </w:r>
      <w:r>
        <w:t xml:space="preserve"> were installed in the Melbourne Planetarium, at Scienceworks. The new system will greatly </w:t>
      </w:r>
      <w:r w:rsidRPr="00677DA4">
        <w:t>enhance the Planetarium experience</w:t>
      </w:r>
      <w:r>
        <w:t xml:space="preserve"> for all visitors</w:t>
      </w:r>
      <w:r w:rsidRPr="00677DA4">
        <w:t>.</w:t>
      </w:r>
    </w:p>
    <w:p w:rsidR="00B83890" w:rsidRPr="00677DA4" w:rsidRDefault="00B83890" w:rsidP="00B83890"/>
    <w:p w:rsidR="00B83890" w:rsidRPr="00677DA4" w:rsidRDefault="00B83890" w:rsidP="00B83890">
      <w:r w:rsidRPr="00677DA4">
        <w:t xml:space="preserve">Sponsorship </w:t>
      </w:r>
      <w:r>
        <w:t>from</w:t>
      </w:r>
      <w:r w:rsidRPr="00677DA4">
        <w:t xml:space="preserve"> Exxon Mobil enabled the refurbishment of the Scienceworks auditorium into an interactive learning space</w:t>
      </w:r>
      <w:r>
        <w:t>:</w:t>
      </w:r>
      <w:r w:rsidRPr="00677DA4">
        <w:t xml:space="preserve"> the </w:t>
      </w:r>
      <w:r w:rsidRPr="00645257">
        <w:t>Helen Quinn Energy Lab</w:t>
      </w:r>
      <w:r w:rsidRPr="00677DA4">
        <w:t>.</w:t>
      </w:r>
    </w:p>
    <w:p w:rsidR="00B83890" w:rsidRPr="002806DF" w:rsidRDefault="00B83890" w:rsidP="00B83890"/>
    <w:p w:rsidR="00B83890" w:rsidRDefault="00B83890" w:rsidP="00B83890">
      <w:r w:rsidRPr="002806DF">
        <w:t xml:space="preserve">A program of public tenders </w:t>
      </w:r>
      <w:r>
        <w:t>sought</w:t>
      </w:r>
      <w:r w:rsidRPr="002806DF">
        <w:t xml:space="preserve"> new service contracts for the provision of security and cleaning services. These contracts are performance</w:t>
      </w:r>
      <w:r>
        <w:t>-</w:t>
      </w:r>
      <w:r w:rsidRPr="002806DF">
        <w:t>based</w:t>
      </w:r>
      <w:r>
        <w:t>,</w:t>
      </w:r>
      <w:r w:rsidRPr="002806DF">
        <w:t xml:space="preserve"> with a focus on service improvements for </w:t>
      </w:r>
      <w:r>
        <w:t>museum operations</w:t>
      </w:r>
      <w:r w:rsidRPr="002806DF">
        <w:t xml:space="preserve"> and </w:t>
      </w:r>
      <w:r>
        <w:t xml:space="preserve">the </w:t>
      </w:r>
      <w:r w:rsidRPr="002806DF">
        <w:t>visitor experience.</w:t>
      </w:r>
    </w:p>
    <w:p w:rsidR="00B83890" w:rsidRPr="0043069F" w:rsidRDefault="00B83890" w:rsidP="00B83890"/>
    <w:p w:rsidR="00B83890" w:rsidRPr="0043069F" w:rsidRDefault="00B83890" w:rsidP="00B83890">
      <w:r w:rsidRPr="0043069F">
        <w:t xml:space="preserve">Museum Victoria </w:t>
      </w:r>
      <w:r>
        <w:t xml:space="preserve">has </w:t>
      </w:r>
      <w:r w:rsidRPr="0043069F">
        <w:t>administered the Arts Agenc</w:t>
      </w:r>
      <w:r>
        <w:t>ies</w:t>
      </w:r>
      <w:r w:rsidRPr="0043069F">
        <w:t xml:space="preserve"> Collections Working Group</w:t>
      </w:r>
      <w:r>
        <w:t xml:space="preserve"> for the last eight years</w:t>
      </w:r>
      <w:r w:rsidRPr="0043069F">
        <w:t xml:space="preserve">, </w:t>
      </w:r>
      <w:r>
        <w:t xml:space="preserve">during which </w:t>
      </w:r>
      <w:r w:rsidRPr="0043069F">
        <w:t xml:space="preserve">there </w:t>
      </w:r>
      <w:r>
        <w:t>has been</w:t>
      </w:r>
      <w:r w:rsidRPr="0043069F">
        <w:t xml:space="preserve"> unprecedented collaboration</w:t>
      </w:r>
      <w:r>
        <w:t>, as well as</w:t>
      </w:r>
      <w:r w:rsidRPr="0043069F">
        <w:t xml:space="preserve"> </w:t>
      </w:r>
      <w:r>
        <w:t>discussion about the</w:t>
      </w:r>
      <w:r w:rsidRPr="0043069F">
        <w:t xml:space="preserve"> common ground between </w:t>
      </w:r>
      <w:r>
        <w:t>a</w:t>
      </w:r>
      <w:r w:rsidRPr="0043069F">
        <w:t>gencies</w:t>
      </w:r>
      <w:r>
        <w:t xml:space="preserve"> and the</w:t>
      </w:r>
      <w:r w:rsidRPr="0043069F">
        <w:t xml:space="preserve"> development of the Victorian State Collections Emergency Response Memorandum of Understanding.</w:t>
      </w:r>
      <w:r>
        <w:t xml:space="preserve"> </w:t>
      </w:r>
      <w:r w:rsidRPr="0043069F">
        <w:t xml:space="preserve">Museum Victoria has now handed over the chairing and administration of the </w:t>
      </w:r>
      <w:r>
        <w:t>g</w:t>
      </w:r>
      <w:r w:rsidRPr="0043069F">
        <w:t xml:space="preserve">roup to the National Gallery of Victoria, having performed these roles since the </w:t>
      </w:r>
      <w:r>
        <w:t>g</w:t>
      </w:r>
      <w:r w:rsidRPr="0043069F">
        <w:t>roup’s inception in 2005.</w:t>
      </w:r>
    </w:p>
    <w:p w:rsidR="00B83890" w:rsidRDefault="00B83890" w:rsidP="00B83890"/>
    <w:p w:rsidR="00B83890" w:rsidRDefault="00B83890" w:rsidP="00B83890">
      <w:pPr>
        <w:pStyle w:val="Heading2"/>
      </w:pPr>
      <w:r>
        <w:lastRenderedPageBreak/>
        <w:t>Collections Victoria</w:t>
      </w:r>
    </w:p>
    <w:p w:rsidR="00B83890" w:rsidRPr="00BD210B" w:rsidRDefault="00B83890" w:rsidP="00B83890">
      <w:r w:rsidRPr="00BD210B">
        <w:t>In 2012</w:t>
      </w:r>
      <w:r>
        <w:t xml:space="preserve">, </w:t>
      </w:r>
      <w:r w:rsidRPr="00BD210B">
        <w:t>the Victorian Government, through Arts Victoria, allocated $15.16</w:t>
      </w:r>
      <w:r>
        <w:t> </w:t>
      </w:r>
      <w:r w:rsidRPr="00BD210B">
        <w:t xml:space="preserve">million over four years to better protect and secure </w:t>
      </w:r>
      <w:r>
        <w:t>Victoria’s</w:t>
      </w:r>
      <w:r w:rsidRPr="00BD210B">
        <w:t xml:space="preserve"> rich and diverse cultural collections. This funding </w:t>
      </w:r>
      <w:r>
        <w:t>addresses</w:t>
      </w:r>
      <w:r w:rsidRPr="00BD210B">
        <w:t xml:space="preserve"> urgent issues and overcrowding </w:t>
      </w:r>
      <w:r>
        <w:t xml:space="preserve">by </w:t>
      </w:r>
      <w:r w:rsidRPr="00BD210B">
        <w:t>upgrad</w:t>
      </w:r>
      <w:r>
        <w:t>ing</w:t>
      </w:r>
      <w:r w:rsidRPr="00BD210B">
        <w:t xml:space="preserve"> the storage systems at Museum Victoria, the National Gallery of Victoria, Arts Centre Melbourne and </w:t>
      </w:r>
      <w:r>
        <w:t xml:space="preserve">the </w:t>
      </w:r>
      <w:r w:rsidRPr="00BD210B">
        <w:t>Australian Centre for the Moving Image.</w:t>
      </w:r>
      <w:r>
        <w:t xml:space="preserve"> </w:t>
      </w:r>
      <w:r w:rsidRPr="00BD210B">
        <w:t>Funding of approximately $7</w:t>
      </w:r>
      <w:r>
        <w:t> </w:t>
      </w:r>
      <w:r w:rsidRPr="00BD210B">
        <w:t xml:space="preserve">million </w:t>
      </w:r>
      <w:r>
        <w:t>has been allocated</w:t>
      </w:r>
      <w:r w:rsidRPr="00BD210B">
        <w:t xml:space="preserve"> to Museum Victoria to make improvements to existing storage systems</w:t>
      </w:r>
      <w:r>
        <w:t>, pending a portfolio-wide project on the long-term needs for Victoria’s collection storage</w:t>
      </w:r>
      <w:r w:rsidRPr="00BD210B">
        <w:t xml:space="preserve">. </w:t>
      </w:r>
    </w:p>
    <w:p w:rsidR="00B83890" w:rsidRDefault="00B83890" w:rsidP="00B83890"/>
    <w:p w:rsidR="00B83890" w:rsidRDefault="00B83890" w:rsidP="00B83890">
      <w:pPr>
        <w:pStyle w:val="Heading2"/>
      </w:pPr>
      <w:r w:rsidRPr="00605780">
        <w:t xml:space="preserve">Royal Exhibition Building </w:t>
      </w:r>
    </w:p>
    <w:p w:rsidR="00B83890" w:rsidRPr="003D4FB0" w:rsidRDefault="00B83890" w:rsidP="00B83890">
      <w:r w:rsidRPr="003D4FB0">
        <w:t>The World Heritage–listed Royal Exhibition Building hosted numer</w:t>
      </w:r>
      <w:r>
        <w:t>ous</w:t>
      </w:r>
      <w:r w:rsidRPr="003D4FB0">
        <w:t xml:space="preserve"> exhibitions and trade shows during 2012–13. The Australian Bridal Service celebrated its 100th exhibition at the venue. New exhibitions included Brickvention, Dog Lovers Show and World Stamp Expo. </w:t>
      </w:r>
      <w:r>
        <w:t>Popular shows that returned include</w:t>
      </w:r>
      <w:r w:rsidRPr="003D4FB0">
        <w:t xml:space="preserve"> the Baby and Toddler Show</w:t>
      </w:r>
      <w:r>
        <w:t xml:space="preserve">, </w:t>
      </w:r>
      <w:r w:rsidRPr="003D4FB0">
        <w:t xml:space="preserve">the Melbourne International Flower and Garden Show and Motorclassica. </w:t>
      </w:r>
    </w:p>
    <w:p w:rsidR="00B83890" w:rsidRPr="00BD210B" w:rsidRDefault="00B83890" w:rsidP="00B83890"/>
    <w:p w:rsidR="00B83890" w:rsidRPr="00BD210B" w:rsidRDefault="00B83890" w:rsidP="00B83890">
      <w:r w:rsidRPr="00BD210B">
        <w:t xml:space="preserve">The 2012 </w:t>
      </w:r>
      <w:r>
        <w:t>f</w:t>
      </w:r>
      <w:r w:rsidRPr="00BD210B">
        <w:t xml:space="preserve">ederal </w:t>
      </w:r>
      <w:r>
        <w:t>b</w:t>
      </w:r>
      <w:r w:rsidRPr="00BD210B">
        <w:t>udget allocat</w:t>
      </w:r>
      <w:r>
        <w:t xml:space="preserve">ed </w:t>
      </w:r>
      <w:r w:rsidRPr="00BD210B">
        <w:t>$20</w:t>
      </w:r>
      <w:r>
        <w:t> </w:t>
      </w:r>
      <w:r w:rsidRPr="00BD210B">
        <w:t xml:space="preserve">million for the </w:t>
      </w:r>
      <w:r>
        <w:t>p</w:t>
      </w:r>
      <w:r w:rsidRPr="00BD210B">
        <w:t xml:space="preserve">rotection and </w:t>
      </w:r>
      <w:r>
        <w:t>p</w:t>
      </w:r>
      <w:r w:rsidRPr="00BD210B">
        <w:t xml:space="preserve">romotion of </w:t>
      </w:r>
      <w:r>
        <w:t>the Royal Exhibition Building. M</w:t>
      </w:r>
      <w:r w:rsidRPr="00BD210B">
        <w:t xml:space="preserve">useum </w:t>
      </w:r>
      <w:r>
        <w:t xml:space="preserve">Victoria has </w:t>
      </w:r>
      <w:r w:rsidRPr="00BD210B">
        <w:t xml:space="preserve">commissioned condition reports and prepared a </w:t>
      </w:r>
      <w:r>
        <w:t>b</w:t>
      </w:r>
      <w:r w:rsidRPr="00BD210B">
        <w:t xml:space="preserve">usiness </w:t>
      </w:r>
      <w:r>
        <w:t>c</w:t>
      </w:r>
      <w:r w:rsidRPr="00BD210B">
        <w:t xml:space="preserve">ase for the release of </w:t>
      </w:r>
      <w:r>
        <w:t xml:space="preserve">the </w:t>
      </w:r>
      <w:r w:rsidRPr="00BD210B">
        <w:t>funds</w:t>
      </w:r>
      <w:r>
        <w:t xml:space="preserve">. </w:t>
      </w:r>
      <w:r w:rsidRPr="00BD210B">
        <w:t xml:space="preserve">The key outputs allocated against the funds are repairs </w:t>
      </w:r>
      <w:r>
        <w:t xml:space="preserve">to the </w:t>
      </w:r>
      <w:r w:rsidRPr="00BD210B">
        <w:t xml:space="preserve">dome, joinery works, facade works and </w:t>
      </w:r>
      <w:r>
        <w:t xml:space="preserve">reinstatement of the </w:t>
      </w:r>
      <w:r w:rsidRPr="00BD210B">
        <w:t xml:space="preserve">dome promenade. These works </w:t>
      </w:r>
      <w:r>
        <w:t>will complement</w:t>
      </w:r>
      <w:r w:rsidRPr="00BD210B">
        <w:t xml:space="preserve"> the development of the Royal Exhibition Building asset</w:t>
      </w:r>
      <w:r>
        <w:t xml:space="preserve"> </w:t>
      </w:r>
      <w:r w:rsidRPr="00BD210B">
        <w:t>management plan.</w:t>
      </w:r>
    </w:p>
    <w:p w:rsidR="00B83890" w:rsidRPr="00BD210B" w:rsidRDefault="00B83890" w:rsidP="00B83890"/>
    <w:p w:rsidR="00B83890" w:rsidRPr="00DE23B3" w:rsidRDefault="00B83890" w:rsidP="00B83890">
      <w:r w:rsidRPr="00677DA4">
        <w:rPr>
          <w:bCs/>
        </w:rPr>
        <w:t>The Royal Exhibition Building and Carlton Gardens World Heritage Community Day</w:t>
      </w:r>
      <w:r>
        <w:rPr>
          <w:bCs/>
        </w:rPr>
        <w:t>, held</w:t>
      </w:r>
      <w:r w:rsidRPr="00677DA4">
        <w:rPr>
          <w:bCs/>
        </w:rPr>
        <w:t xml:space="preserve"> at Melbourne Museum</w:t>
      </w:r>
      <w:r>
        <w:rPr>
          <w:bCs/>
        </w:rPr>
        <w:t>,</w:t>
      </w:r>
      <w:r w:rsidRPr="00677DA4">
        <w:rPr>
          <w:bCs/>
        </w:rPr>
        <w:t xml:space="preserve"> was </w:t>
      </w:r>
      <w:r w:rsidRPr="00677DA4">
        <w:t>a collaboration with the Coalition of Residents’ Associations (City of Melbourne, Carlton and Fitzroy). Speakers included Adam Bandt, Federal Member for Melbourne</w:t>
      </w:r>
      <w:r>
        <w:t xml:space="preserve"> and </w:t>
      </w:r>
      <w:r w:rsidRPr="00677DA4">
        <w:t>Emeritus Professor Graeme Davidson, Monash U</w:t>
      </w:r>
      <w:r w:rsidR="00751B3E">
        <w:t>niversity.</w:t>
      </w:r>
    </w:p>
    <w:p w:rsidR="00B83890" w:rsidRDefault="00B83890" w:rsidP="00B83890">
      <w:pPr>
        <w:pStyle w:val="Heading1"/>
      </w:pPr>
      <w:bookmarkStart w:id="7" w:name="_Toc50372768"/>
      <w:bookmarkStart w:id="8" w:name="_Toc50545183"/>
      <w:bookmarkStart w:id="9" w:name="_Toc50784472"/>
      <w:bookmarkStart w:id="10" w:name="_Toc50784559"/>
      <w:bookmarkStart w:id="11" w:name="_Toc50784753"/>
      <w:r>
        <w:br w:type="page"/>
      </w:r>
      <w:r w:rsidRPr="00162D08">
        <w:lastRenderedPageBreak/>
        <w:t xml:space="preserve">Strategic Direction 2 </w:t>
      </w:r>
    </w:p>
    <w:p w:rsidR="00B83890" w:rsidRDefault="00B83890" w:rsidP="00B83890">
      <w:pPr>
        <w:pStyle w:val="Heading1"/>
        <w:rPr>
          <w:color w:val="FF0000"/>
        </w:rPr>
      </w:pPr>
      <w:r w:rsidRPr="00162D08">
        <w:t>Research and Collections: Knowledge and Connections</w:t>
      </w:r>
    </w:p>
    <w:bookmarkEnd w:id="7"/>
    <w:bookmarkEnd w:id="8"/>
    <w:bookmarkEnd w:id="9"/>
    <w:bookmarkEnd w:id="10"/>
    <w:bookmarkEnd w:id="11"/>
    <w:p w:rsidR="00B83890" w:rsidRPr="00DE23B3" w:rsidRDefault="00B83890" w:rsidP="00B83890"/>
    <w:p w:rsidR="00B83890" w:rsidRDefault="00B83890" w:rsidP="00B83890">
      <w:pPr>
        <w:pStyle w:val="Heading2"/>
      </w:pPr>
      <w:r>
        <w:t>Enhancing</w:t>
      </w:r>
      <w:r w:rsidRPr="00DE23B3">
        <w:t xml:space="preserve"> </w:t>
      </w:r>
      <w:r>
        <w:t>O</w:t>
      </w:r>
      <w:r w:rsidRPr="00DE23B3">
        <w:t xml:space="preserve">ur </w:t>
      </w:r>
      <w:r>
        <w:t>Research R</w:t>
      </w:r>
      <w:r w:rsidRPr="00DE23B3">
        <w:t>eputation</w:t>
      </w:r>
    </w:p>
    <w:p w:rsidR="00B83890" w:rsidRPr="0043069F" w:rsidRDefault="00B83890" w:rsidP="00B83890">
      <w:r w:rsidRPr="0043069F">
        <w:t>In 2012</w:t>
      </w:r>
      <w:r>
        <w:t>–</w:t>
      </w:r>
      <w:r w:rsidRPr="0043069F">
        <w:t xml:space="preserve">13, we continued our strong research program, with researchers producing </w:t>
      </w:r>
      <w:r w:rsidRPr="00F86EB5">
        <w:t>160</w:t>
      </w:r>
      <w:r w:rsidRPr="0043069F">
        <w:t xml:space="preserve"> peer-reviewed journal papers, reports, books and other publications, and presenting </w:t>
      </w:r>
      <w:r w:rsidRPr="00F86EB5">
        <w:t>208</w:t>
      </w:r>
      <w:r w:rsidRPr="0043069F">
        <w:t xml:space="preserve"> lectures and talks.</w:t>
      </w:r>
    </w:p>
    <w:p w:rsidR="00B83890" w:rsidRPr="0043069F" w:rsidRDefault="00B83890" w:rsidP="00B83890"/>
    <w:p w:rsidR="00B83890" w:rsidRDefault="00B83890" w:rsidP="00B83890">
      <w:r w:rsidRPr="0043069F">
        <w:t xml:space="preserve">Museum Victoria took part in two successful natural history expeditions to Sulawesi, Indonesia </w:t>
      </w:r>
      <w:r>
        <w:t>during the year,</w:t>
      </w:r>
      <w:r w:rsidRPr="0043069F">
        <w:t xml:space="preserve"> in collaboration </w:t>
      </w:r>
      <w:r>
        <w:t xml:space="preserve">with </w:t>
      </w:r>
      <w:r w:rsidRPr="0043069F">
        <w:t>Museum Zoologicum Bogoriense (Indonesia), University of California, Berkeley (USA), McMaster University (Canada), and Louisiana State University (USA).</w:t>
      </w:r>
      <w:r>
        <w:t xml:space="preserve"> </w:t>
      </w:r>
      <w:r w:rsidRPr="0043069F">
        <w:t xml:space="preserve">The fieldwork yielded important information </w:t>
      </w:r>
      <w:r>
        <w:t>about</w:t>
      </w:r>
      <w:r w:rsidRPr="0043069F">
        <w:t xml:space="preserve"> more than 25 mammal and 30 bird species from the rainforest. The project was supported by the National Geographic Society, </w:t>
      </w:r>
      <w:r>
        <w:t xml:space="preserve">the </w:t>
      </w:r>
      <w:r w:rsidRPr="0043069F">
        <w:t xml:space="preserve">Australian Pacific Science Foundation, </w:t>
      </w:r>
      <w:r>
        <w:t xml:space="preserve">the </w:t>
      </w:r>
      <w:r w:rsidRPr="0043069F">
        <w:t xml:space="preserve">Ian Potter Foundation and </w:t>
      </w:r>
      <w:r>
        <w:t xml:space="preserve">the </w:t>
      </w:r>
      <w:r w:rsidRPr="0043069F">
        <w:t>Hugh D.T. Williamson Foundation.</w:t>
      </w:r>
    </w:p>
    <w:p w:rsidR="00B83890" w:rsidRDefault="00B83890" w:rsidP="00B83890"/>
    <w:p w:rsidR="00B83890" w:rsidRDefault="00B83890" w:rsidP="00B83890">
      <w:pPr>
        <w:pStyle w:val="Heading2"/>
      </w:pPr>
      <w:r w:rsidRPr="00DE23B3">
        <w:t>Extend</w:t>
      </w:r>
      <w:r>
        <w:t>ing Our Community Connections</w:t>
      </w:r>
      <w:r w:rsidRPr="00DE23B3">
        <w:t xml:space="preserve"> </w:t>
      </w:r>
    </w:p>
    <w:p w:rsidR="00B83890" w:rsidRDefault="00B83890" w:rsidP="00B83890">
      <w:pPr>
        <w:rPr>
          <w:color w:val="0070C0"/>
        </w:rPr>
      </w:pPr>
      <w:r w:rsidRPr="00677DA4">
        <w:t>The</w:t>
      </w:r>
      <w:r>
        <w:t xml:space="preserve"> symposium</w:t>
      </w:r>
      <w:r w:rsidRPr="00677DA4">
        <w:t xml:space="preserve"> </w:t>
      </w:r>
      <w:r w:rsidRPr="00AC5348">
        <w:t>Owning Racism</w:t>
      </w:r>
      <w:r>
        <w:t>:</w:t>
      </w:r>
      <w:r w:rsidRPr="00AC5348">
        <w:t xml:space="preserve"> Can </w:t>
      </w:r>
      <w:r>
        <w:t>W</w:t>
      </w:r>
      <w:r w:rsidRPr="00AC5348">
        <w:t xml:space="preserve">e </w:t>
      </w:r>
      <w:r>
        <w:t>T</w:t>
      </w:r>
      <w:r w:rsidRPr="00AC5348">
        <w:t>alk?</w:t>
      </w:r>
      <w:r w:rsidRPr="00677DA4">
        <w:t xml:space="preserve"> </w:t>
      </w:r>
      <w:r>
        <w:t>was</w:t>
      </w:r>
      <w:r w:rsidRPr="00677DA4">
        <w:t xml:space="preserve"> an interdisciplinary forum for academics, community service providers and arts practitioners. Participants from these sectors shared research and program work focused on cultural and social interventions that could facilitate social cohesion. Papers from the symposium have been published online.</w:t>
      </w:r>
      <w:r w:rsidRPr="004F34F7">
        <w:rPr>
          <w:color w:val="0070C0"/>
        </w:rPr>
        <w:t xml:space="preserve"> </w:t>
      </w:r>
      <w:r w:rsidRPr="00AC5348">
        <w:t>A youth forum</w:t>
      </w:r>
      <w:r>
        <w:t>,</w:t>
      </w:r>
      <w:r w:rsidRPr="00AC5348">
        <w:t xml:space="preserve"> held at </w:t>
      </w:r>
      <w:r>
        <w:t>t</w:t>
      </w:r>
      <w:r w:rsidRPr="00AC5348">
        <w:t>he Wheeler Centre</w:t>
      </w:r>
      <w:r>
        <w:t>,</w:t>
      </w:r>
      <w:r w:rsidRPr="00AC5348">
        <w:t xml:space="preserve"> offer</w:t>
      </w:r>
      <w:r>
        <w:t>ed</w:t>
      </w:r>
      <w:r w:rsidRPr="00AC5348">
        <w:t xml:space="preserve"> young people a chance to discuss their lived experiences of racism and identity in Melbourne.</w:t>
      </w:r>
    </w:p>
    <w:p w:rsidR="00B83890" w:rsidRDefault="00B83890" w:rsidP="00B83890"/>
    <w:p w:rsidR="00B83890" w:rsidRPr="0043069F" w:rsidRDefault="00B83890" w:rsidP="00B83890">
      <w:r w:rsidRPr="0043069F">
        <w:t xml:space="preserve">In May 2013, Museum Victoria launched </w:t>
      </w:r>
      <w:r w:rsidRPr="0043069F">
        <w:rPr>
          <w:i/>
        </w:rPr>
        <w:t>Spencer and Gillen: A Journey through Central Australia</w:t>
      </w:r>
      <w:r>
        <w:t>. This</w:t>
      </w:r>
      <w:r w:rsidRPr="0043069F">
        <w:t xml:space="preserve"> new website showcas</w:t>
      </w:r>
      <w:r>
        <w:t>es</w:t>
      </w:r>
      <w:r w:rsidRPr="0043069F">
        <w:t xml:space="preserve"> </w:t>
      </w:r>
      <w:r>
        <w:t>approximately</w:t>
      </w:r>
      <w:r w:rsidRPr="0043069F">
        <w:t xml:space="preserve"> 20,000 objects, documents, images and recordings relating to Walter Baldwin Spencer and Frank Gillen’s anthropological studies in Central Australia</w:t>
      </w:r>
      <w:r>
        <w:t>, which took place</w:t>
      </w:r>
      <w:r w:rsidRPr="0043069F">
        <w:t xml:space="preserve"> </w:t>
      </w:r>
      <w:r>
        <w:t>between</w:t>
      </w:r>
      <w:r w:rsidRPr="0043069F">
        <w:t xml:space="preserve"> 1875</w:t>
      </w:r>
      <w:r>
        <w:t xml:space="preserve"> and </w:t>
      </w:r>
      <w:r w:rsidRPr="0043069F">
        <w:t>1912.</w:t>
      </w:r>
      <w:r>
        <w:t xml:space="preserve"> </w:t>
      </w:r>
      <w:r w:rsidRPr="0043069F">
        <w:t>It will prove an invaluable resource</w:t>
      </w:r>
      <w:r>
        <w:t>, particularly</w:t>
      </w:r>
      <w:r w:rsidRPr="0043069F">
        <w:t xml:space="preserve"> for Central Australian Aboriginal people.</w:t>
      </w:r>
      <w:r>
        <w:t xml:space="preserve"> </w:t>
      </w:r>
    </w:p>
    <w:p w:rsidR="00B83890" w:rsidRPr="0043069F" w:rsidRDefault="00B83890" w:rsidP="00B83890"/>
    <w:p w:rsidR="00B83890" w:rsidRPr="0043069F" w:rsidRDefault="00B83890" w:rsidP="00B83890">
      <w:r w:rsidRPr="0043069F">
        <w:t>Museum Victoria received a grant from the Baker Foundation to further enhance the Kodak Heritage Collection</w:t>
      </w:r>
      <w:r>
        <w:t>, which was</w:t>
      </w:r>
      <w:r w:rsidRPr="0043069F">
        <w:t xml:space="preserve"> acquired in 2005</w:t>
      </w:r>
      <w:r>
        <w:t xml:space="preserve"> </w:t>
      </w:r>
      <w:r w:rsidRPr="0043069F">
        <w:t xml:space="preserve">and </w:t>
      </w:r>
      <w:r>
        <w:t>which</w:t>
      </w:r>
      <w:r w:rsidRPr="0043069F">
        <w:t xml:space="preserve"> traces the history of Kodak’s involvement in the photographic industry in Australasia.</w:t>
      </w:r>
      <w:r>
        <w:t xml:space="preserve"> Through this grant, o</w:t>
      </w:r>
      <w:r w:rsidRPr="0043069F">
        <w:t>ral histories will be gathered from former Kodak staff</w:t>
      </w:r>
      <w:r>
        <w:t>,</w:t>
      </w:r>
      <w:r w:rsidRPr="0043069F">
        <w:t xml:space="preserve"> and online access to the collection and related information will be </w:t>
      </w:r>
      <w:r>
        <w:t>improved</w:t>
      </w:r>
      <w:r w:rsidRPr="0043069F">
        <w:t>.</w:t>
      </w:r>
    </w:p>
    <w:p w:rsidR="00B83890" w:rsidRPr="0043069F" w:rsidRDefault="00B83890" w:rsidP="00B83890"/>
    <w:p w:rsidR="00B83890" w:rsidRPr="00B257F2" w:rsidRDefault="00B83890" w:rsidP="00B83890">
      <w:r w:rsidRPr="00677DA4">
        <w:t>Melbourne Museum Discovery Centre underwent some changes</w:t>
      </w:r>
      <w:r>
        <w:t xml:space="preserve"> during the year. S</w:t>
      </w:r>
      <w:r w:rsidRPr="00677DA4">
        <w:t>everal public</w:t>
      </w:r>
      <w:r>
        <w:t>-</w:t>
      </w:r>
      <w:r w:rsidRPr="00677DA4">
        <w:t xml:space="preserve">access computers </w:t>
      </w:r>
      <w:r>
        <w:t xml:space="preserve">were removed </w:t>
      </w:r>
      <w:r w:rsidRPr="00677DA4">
        <w:t>to make way for hands</w:t>
      </w:r>
      <w:r>
        <w:t>-</w:t>
      </w:r>
      <w:r w:rsidRPr="00677DA4">
        <w:t>on object tables, a comfortable reading area and a new display about the various ‘ologies</w:t>
      </w:r>
      <w:r>
        <w:t>’</w:t>
      </w:r>
      <w:r w:rsidRPr="00677DA4">
        <w:t xml:space="preserve"> of science </w:t>
      </w:r>
      <w:r>
        <w:t xml:space="preserve">that are </w:t>
      </w:r>
      <w:r w:rsidRPr="00677DA4">
        <w:t>reflected in Museum Victoria’s collections and research program.</w:t>
      </w:r>
      <w:r>
        <w:t xml:space="preserve"> Museum Victoria’s </w:t>
      </w:r>
      <w:r w:rsidRPr="00677DA4">
        <w:t xml:space="preserve">Discovery Centres responded to a total of </w:t>
      </w:r>
      <w:r w:rsidRPr="00F86EB5">
        <w:t>11</w:t>
      </w:r>
      <w:r>
        <w:t>,</w:t>
      </w:r>
      <w:r w:rsidRPr="00F86EB5">
        <w:t>090</w:t>
      </w:r>
      <w:r w:rsidRPr="00677DA4">
        <w:t xml:space="preserve"> public enquiries and online comments during 2012</w:t>
      </w:r>
      <w:r>
        <w:t>–</w:t>
      </w:r>
      <w:r w:rsidRPr="00677DA4">
        <w:t>13.</w:t>
      </w:r>
    </w:p>
    <w:p w:rsidR="00B83890" w:rsidRPr="00DE23B3" w:rsidRDefault="00B83890" w:rsidP="00B83890"/>
    <w:p w:rsidR="00B83890" w:rsidRDefault="00B83890" w:rsidP="00B83890">
      <w:pPr>
        <w:pStyle w:val="Heading2"/>
      </w:pPr>
      <w:r>
        <w:t>D</w:t>
      </w:r>
      <w:r w:rsidRPr="00DE23B3">
        <w:t>evelop</w:t>
      </w:r>
      <w:r>
        <w:t>ing</w:t>
      </w:r>
      <w:r w:rsidRPr="00DE23B3">
        <w:t xml:space="preserve"> the </w:t>
      </w:r>
      <w:r>
        <w:t>C</w:t>
      </w:r>
      <w:r w:rsidRPr="00DE23B3">
        <w:t xml:space="preserve">ollection </w:t>
      </w:r>
    </w:p>
    <w:p w:rsidR="00B83890" w:rsidRPr="0043069F" w:rsidRDefault="00B83890" w:rsidP="00B83890">
      <w:r w:rsidRPr="0043069F">
        <w:t xml:space="preserve">Museum Victoria completed a new set of 46 </w:t>
      </w:r>
      <w:r>
        <w:t>c</w:t>
      </w:r>
      <w:r w:rsidRPr="0043069F">
        <w:t xml:space="preserve">ollection </w:t>
      </w:r>
      <w:r>
        <w:t>d</w:t>
      </w:r>
      <w:r w:rsidRPr="0043069F">
        <w:t xml:space="preserve">evelopment </w:t>
      </w:r>
      <w:r>
        <w:t>p</w:t>
      </w:r>
      <w:r w:rsidRPr="0043069F">
        <w:t>lans</w:t>
      </w:r>
      <w:r>
        <w:t xml:space="preserve">. These plans </w:t>
      </w:r>
      <w:r w:rsidRPr="0043069F">
        <w:t>outline the strategic directions for develop</w:t>
      </w:r>
      <w:r>
        <w:t xml:space="preserve">ing </w:t>
      </w:r>
      <w:r w:rsidRPr="0043069F">
        <w:t xml:space="preserve">each disciplinary collection represented in the </w:t>
      </w:r>
      <w:r>
        <w:t>S</w:t>
      </w:r>
      <w:r w:rsidRPr="0043069F">
        <w:t xml:space="preserve">tate </w:t>
      </w:r>
      <w:r>
        <w:t>C</w:t>
      </w:r>
      <w:r w:rsidRPr="0043069F">
        <w:t>ollection.</w:t>
      </w:r>
    </w:p>
    <w:p w:rsidR="00521470" w:rsidRDefault="00521470">
      <w:pPr>
        <w:keepNext w:val="0"/>
        <w:spacing w:after="200" w:line="276" w:lineRule="auto"/>
        <w:outlineLvl w:val="9"/>
      </w:pPr>
      <w:r>
        <w:br w:type="page"/>
      </w:r>
    </w:p>
    <w:p w:rsidR="00B83890" w:rsidRPr="0043069F" w:rsidRDefault="00B83890" w:rsidP="00B83890">
      <w:r w:rsidRPr="0043069F">
        <w:lastRenderedPageBreak/>
        <w:t>Important acquisitions during the year include:</w:t>
      </w:r>
    </w:p>
    <w:p w:rsidR="00B83890" w:rsidRPr="0043069F" w:rsidRDefault="00B83890" w:rsidP="00C14C5D">
      <w:pPr>
        <w:pStyle w:val="ListParagraph"/>
        <w:numPr>
          <w:ilvl w:val="0"/>
          <w:numId w:val="14"/>
        </w:numPr>
      </w:pPr>
      <w:r w:rsidRPr="0043069F">
        <w:t xml:space="preserve">the St Kilda AFL jumper worn by Mr Nicky Winmar when he </w:t>
      </w:r>
      <w:r>
        <w:t xml:space="preserve">was </w:t>
      </w:r>
      <w:r w:rsidRPr="0043069F">
        <w:t>racially abused at a St Kilda</w:t>
      </w:r>
      <w:r>
        <w:t xml:space="preserve"> vs </w:t>
      </w:r>
      <w:r w:rsidRPr="0043069F">
        <w:t>Collingwood game in 1993</w:t>
      </w:r>
    </w:p>
    <w:p w:rsidR="00B83890" w:rsidRPr="0043069F" w:rsidRDefault="00B83890" w:rsidP="00C14C5D">
      <w:pPr>
        <w:pStyle w:val="ListParagraph"/>
        <w:numPr>
          <w:ilvl w:val="0"/>
          <w:numId w:val="14"/>
        </w:numPr>
      </w:pPr>
      <w:r w:rsidRPr="0043069F">
        <w:t>two paintings exhibited at the 1880 Melbourne International Exhibition (donated by Dr Will Twycross)</w:t>
      </w:r>
    </w:p>
    <w:p w:rsidR="00B83890" w:rsidRPr="0043069F" w:rsidRDefault="00B83890" w:rsidP="00C14C5D">
      <w:pPr>
        <w:pStyle w:val="ListParagraph"/>
        <w:numPr>
          <w:ilvl w:val="0"/>
          <w:numId w:val="14"/>
        </w:numPr>
      </w:pPr>
      <w:r w:rsidRPr="0043069F">
        <w:t>the Florence Hodges 1926 bushfire bravery collection (donated by Lynette Gleeson)</w:t>
      </w:r>
    </w:p>
    <w:p w:rsidR="00B83890" w:rsidRPr="0043069F" w:rsidRDefault="00B83890" w:rsidP="00C14C5D">
      <w:pPr>
        <w:pStyle w:val="ListParagraph"/>
        <w:numPr>
          <w:ilvl w:val="0"/>
          <w:numId w:val="14"/>
        </w:numPr>
      </w:pPr>
      <w:r w:rsidRPr="0043069F">
        <w:t>a Humpback Whale stranded on McGaurans Beach</w:t>
      </w:r>
      <w:r>
        <w:t>,</w:t>
      </w:r>
      <w:r w:rsidRPr="0043069F">
        <w:t xml:space="preserve"> on the east coast of Victoria.</w:t>
      </w:r>
    </w:p>
    <w:p w:rsidR="00B83890" w:rsidRPr="0043069F" w:rsidRDefault="00B83890" w:rsidP="00B83890"/>
    <w:p w:rsidR="00B83890" w:rsidRPr="0043069F" w:rsidRDefault="00B83890" w:rsidP="00B83890">
      <w:r w:rsidRPr="0043069F">
        <w:t xml:space="preserve">Museum Victoria received a grant from </w:t>
      </w:r>
      <w:r>
        <w:t>t</w:t>
      </w:r>
      <w:r w:rsidRPr="0043069F">
        <w:t>he Copland Foundation to support the second stage of the Great Melbourne Telescope restoration project.</w:t>
      </w:r>
      <w:r>
        <w:t xml:space="preserve"> The</w:t>
      </w:r>
      <w:r w:rsidRPr="0043069F">
        <w:t xml:space="preserve"> restored </w:t>
      </w:r>
      <w:r>
        <w:t>t</w:t>
      </w:r>
      <w:r w:rsidRPr="0043069F">
        <w:t>elescop</w:t>
      </w:r>
      <w:r>
        <w:t>e will be</w:t>
      </w:r>
      <w:r w:rsidRPr="0043069F">
        <w:t xml:space="preserve"> a key element in the development of the Observatory Gate precinct at the Royal Botanic Gardens, Melbourne.</w:t>
      </w:r>
    </w:p>
    <w:p w:rsidR="00B83890" w:rsidRPr="00DE23B3" w:rsidRDefault="00B83890" w:rsidP="00B83890"/>
    <w:p w:rsidR="00B83890" w:rsidRDefault="00B83890" w:rsidP="00B83890">
      <w:pPr>
        <w:pStyle w:val="Heading2"/>
      </w:pPr>
      <w:r>
        <w:t>Pursuing</w:t>
      </w:r>
      <w:r w:rsidRPr="00DE23B3">
        <w:t xml:space="preserve"> </w:t>
      </w:r>
      <w:r>
        <w:t>C</w:t>
      </w:r>
      <w:r w:rsidRPr="00DE23B3">
        <w:t xml:space="preserve">ollaborative </w:t>
      </w:r>
      <w:r>
        <w:t>P</w:t>
      </w:r>
      <w:r w:rsidRPr="00DE23B3">
        <w:t xml:space="preserve">artnerships </w:t>
      </w:r>
    </w:p>
    <w:p w:rsidR="00B83890" w:rsidRPr="0043069F" w:rsidRDefault="00B83890" w:rsidP="00B83890">
      <w:r w:rsidRPr="0043069F">
        <w:t xml:space="preserve">Museum Victoria and La Trobe University completed work on the </w:t>
      </w:r>
      <w:r>
        <w:t>h</w:t>
      </w:r>
      <w:r w:rsidRPr="0043069F">
        <w:t xml:space="preserve">istorical </w:t>
      </w:r>
      <w:r>
        <w:t>a</w:t>
      </w:r>
      <w:r w:rsidRPr="0043069F">
        <w:t xml:space="preserve">rchaeology of the Commonwealth Block, a four-year </w:t>
      </w:r>
      <w:r>
        <w:t>project</w:t>
      </w:r>
      <w:r w:rsidRPr="0043069F">
        <w:t xml:space="preserve"> funded by a </w:t>
      </w:r>
      <w:r>
        <w:t>L</w:t>
      </w:r>
      <w:r w:rsidRPr="0043069F">
        <w:t xml:space="preserve">inkage </w:t>
      </w:r>
      <w:r>
        <w:t>G</w:t>
      </w:r>
      <w:r w:rsidRPr="0043069F">
        <w:t>rant from the Australian Research Council.</w:t>
      </w:r>
      <w:r>
        <w:t xml:space="preserve"> </w:t>
      </w:r>
      <w:r w:rsidRPr="0043069F">
        <w:t>The project involved analysis of the archaeological collection from the site off Little Lonsdale Street and has resulted in the rehousing, labelling and barcoding of 394,000 artefact fragments.</w:t>
      </w:r>
    </w:p>
    <w:p w:rsidR="00B83890" w:rsidRPr="0043069F" w:rsidRDefault="00B83890" w:rsidP="00B83890"/>
    <w:p w:rsidR="00B83890" w:rsidRPr="0043069F" w:rsidRDefault="00B83890" w:rsidP="00B83890">
      <w:r w:rsidRPr="0043069F">
        <w:t xml:space="preserve">Museum Victoria held a </w:t>
      </w:r>
      <w:r>
        <w:t>r</w:t>
      </w:r>
      <w:r w:rsidRPr="0043069F">
        <w:t xml:space="preserve">esearch </w:t>
      </w:r>
      <w:r>
        <w:t>d</w:t>
      </w:r>
      <w:r w:rsidRPr="0043069F">
        <w:t xml:space="preserve">iscovery </w:t>
      </w:r>
      <w:r>
        <w:t>d</w:t>
      </w:r>
      <w:r w:rsidRPr="0043069F">
        <w:t>ay for University of Melbourne academics and Museum Victoria researchers in May 2013.</w:t>
      </w:r>
      <w:r>
        <w:t xml:space="preserve"> </w:t>
      </w:r>
      <w:r w:rsidRPr="0043069F">
        <w:t xml:space="preserve">The event brought together more than 100 staff </w:t>
      </w:r>
      <w:r>
        <w:t xml:space="preserve">members </w:t>
      </w:r>
      <w:r w:rsidRPr="0043069F">
        <w:t xml:space="preserve">from </w:t>
      </w:r>
      <w:r>
        <w:t>the two</w:t>
      </w:r>
      <w:r w:rsidRPr="0043069F">
        <w:t xml:space="preserve"> institutions to explore possible areas of collaboration.</w:t>
      </w:r>
      <w:r>
        <w:t xml:space="preserve"> </w:t>
      </w:r>
    </w:p>
    <w:p w:rsidR="00B83890" w:rsidRPr="0043069F" w:rsidRDefault="00B83890" w:rsidP="00B83890"/>
    <w:p w:rsidR="00B83890" w:rsidRPr="0043069F" w:rsidRDefault="00B83890" w:rsidP="00B83890">
      <w:r w:rsidRPr="0043069F">
        <w:t>Museum Victoria and Parks Victoria signed a memorandum of understanding</w:t>
      </w:r>
      <w:r>
        <w:t xml:space="preserve"> to </w:t>
      </w:r>
      <w:r w:rsidRPr="0043069F">
        <w:t xml:space="preserve">develop collaborative projects, including a plan to deliver a Bioscan </w:t>
      </w:r>
      <w:r>
        <w:t>s</w:t>
      </w:r>
      <w:r w:rsidRPr="0043069F">
        <w:t xml:space="preserve">urvey </w:t>
      </w:r>
      <w:r>
        <w:t>p</w:t>
      </w:r>
      <w:r w:rsidRPr="0043069F">
        <w:t>rogram from 2012</w:t>
      </w:r>
      <w:r>
        <w:t xml:space="preserve"> to 20</w:t>
      </w:r>
      <w:r w:rsidRPr="0043069F">
        <w:t>15.</w:t>
      </w:r>
      <w:r>
        <w:t xml:space="preserve"> O</w:t>
      </w:r>
      <w:r w:rsidRPr="0043069F">
        <w:t>ne major Bioscan and at least one ‘</w:t>
      </w:r>
      <w:r>
        <w:t>m</w:t>
      </w:r>
      <w:r w:rsidRPr="0043069F">
        <w:t>ini</w:t>
      </w:r>
      <w:r>
        <w:t>-s</w:t>
      </w:r>
      <w:r w:rsidRPr="0043069F">
        <w:t xml:space="preserve">can’ </w:t>
      </w:r>
      <w:r>
        <w:t xml:space="preserve">will be </w:t>
      </w:r>
      <w:r w:rsidRPr="0043069F">
        <w:t>conducted each year at priority locations in Victoria’s parks and reserves system, to provide a snapshot of the biodiversity of each region.</w:t>
      </w:r>
    </w:p>
    <w:p w:rsidR="00B83890" w:rsidRPr="00677DA4" w:rsidRDefault="00B83890" w:rsidP="00B83890"/>
    <w:p w:rsidR="00B83890" w:rsidRPr="00677DA4" w:rsidRDefault="00B83890" w:rsidP="00B83890">
      <w:r w:rsidRPr="00677DA4">
        <w:t>At the Museums Australia Conference 2013 in Canberra</w:t>
      </w:r>
      <w:r>
        <w:t>,</w:t>
      </w:r>
      <w:r w:rsidRPr="00677DA4">
        <w:t xml:space="preserve"> Museum Victoria and the JSW Foundation were awarded the ICOM International Relations Award for 2013.</w:t>
      </w:r>
      <w:r w:rsidRPr="00AA1221">
        <w:t xml:space="preserve"> </w:t>
      </w:r>
      <w:r>
        <w:t>The award r</w:t>
      </w:r>
      <w:r w:rsidRPr="00677DA4">
        <w:t>ecognis</w:t>
      </w:r>
      <w:r>
        <w:t>es</w:t>
      </w:r>
      <w:r w:rsidRPr="00677DA4">
        <w:t xml:space="preserve"> the outstanding work of Dr Sarah Kenderdine and her team for P</w:t>
      </w:r>
      <w:r>
        <w:t>lace</w:t>
      </w:r>
      <w:r w:rsidRPr="00677DA4">
        <w:t>–Hampi Museum at Kaladham, Vijayanagar in Karnataka, India.</w:t>
      </w:r>
      <w:r>
        <w:t xml:space="preserve"> </w:t>
      </w:r>
    </w:p>
    <w:p w:rsidR="00B83890" w:rsidRDefault="00B83890" w:rsidP="00B83890">
      <w:pPr>
        <w:pStyle w:val="Heading1"/>
      </w:pPr>
      <w:r w:rsidRPr="00162D08">
        <w:rPr>
          <w:sz w:val="22"/>
        </w:rPr>
        <w:br w:type="page"/>
      </w:r>
      <w:r w:rsidRPr="00162D08">
        <w:lastRenderedPageBreak/>
        <w:t>Strategic Direction 3</w:t>
      </w:r>
    </w:p>
    <w:p w:rsidR="00B83890" w:rsidRDefault="00B83890" w:rsidP="00B83890">
      <w:pPr>
        <w:pStyle w:val="Heading1"/>
        <w:rPr>
          <w:color w:val="FF0000"/>
        </w:rPr>
      </w:pPr>
      <w:r w:rsidRPr="00162D08">
        <w:t>Inspiring Experiences: Engagement and Learning</w:t>
      </w:r>
    </w:p>
    <w:p w:rsidR="00B83890" w:rsidRDefault="00B83890" w:rsidP="00B83890"/>
    <w:p w:rsidR="00B83890" w:rsidRDefault="00B83890" w:rsidP="00B83890">
      <w:pPr>
        <w:pStyle w:val="Heading2"/>
      </w:pPr>
      <w:r>
        <w:t>Engaging A</w:t>
      </w:r>
      <w:r w:rsidRPr="00DE23B3">
        <w:t xml:space="preserve">ll Victorians </w:t>
      </w:r>
    </w:p>
    <w:p w:rsidR="00B83890" w:rsidRPr="00F54A18" w:rsidRDefault="00B83890" w:rsidP="00B83890">
      <w:r w:rsidRPr="00F54A18">
        <w:rPr>
          <w:i/>
        </w:rPr>
        <w:t>The Wonders of Ancient Mesopotamia</w:t>
      </w:r>
      <w:r w:rsidRPr="00F54A18">
        <w:t xml:space="preserve">, presented by Museum Victoria in partnership with the British Museum, closed in October 2012 after being </w:t>
      </w:r>
      <w:r>
        <w:t>enjoyed</w:t>
      </w:r>
      <w:r w:rsidRPr="00F54A18">
        <w:t xml:space="preserve"> by 128,500 visitors.</w:t>
      </w:r>
    </w:p>
    <w:p w:rsidR="00B83890" w:rsidRPr="00F54A18" w:rsidRDefault="00B83890" w:rsidP="00B83890"/>
    <w:p w:rsidR="00B83890" w:rsidRPr="00F54A18" w:rsidRDefault="00B83890" w:rsidP="00B83890">
      <w:r w:rsidRPr="00F54A18">
        <w:rPr>
          <w:i/>
        </w:rPr>
        <w:t>Afghanistan: Hidden Treasures from the National Museum, Kabul</w:t>
      </w:r>
      <w:r w:rsidRPr="00F54A18">
        <w:t>, opened in March 2013.</w:t>
      </w:r>
      <w:r>
        <w:t xml:space="preserve"> O</w:t>
      </w:r>
      <w:r w:rsidRPr="00F54A18">
        <w:t xml:space="preserve">rganised by the National Geographic Society, </w:t>
      </w:r>
      <w:r>
        <w:t xml:space="preserve">the exhibition </w:t>
      </w:r>
      <w:r w:rsidRPr="00F54A18">
        <w:t>features more than 230 precious objects from archaeological sites along the ancient Silk Road.</w:t>
      </w:r>
    </w:p>
    <w:p w:rsidR="00B83890" w:rsidRDefault="00B83890" w:rsidP="00B83890"/>
    <w:p w:rsidR="00B83890" w:rsidRPr="00677DA4" w:rsidRDefault="00B83890" w:rsidP="00B83890">
      <w:r w:rsidRPr="00677DA4">
        <w:t xml:space="preserve">Scienceworks </w:t>
      </w:r>
      <w:r>
        <w:t>had</w:t>
      </w:r>
      <w:r w:rsidRPr="00677DA4">
        <w:t xml:space="preserve"> its busiest</w:t>
      </w:r>
      <w:r>
        <w:t>-ever</w:t>
      </w:r>
      <w:r w:rsidRPr="00677DA4">
        <w:t xml:space="preserve"> winter school holidays on record</w:t>
      </w:r>
      <w:r>
        <w:t>,</w:t>
      </w:r>
      <w:r w:rsidRPr="00677DA4">
        <w:t xml:space="preserve"> with programs exploring the theme of innovation to complement the exhibition </w:t>
      </w:r>
      <w:r w:rsidRPr="00677DA4">
        <w:rPr>
          <w:i/>
        </w:rPr>
        <w:t>Wallace &amp; Gromit</w:t>
      </w:r>
      <w:r>
        <w:rPr>
          <w:i/>
        </w:rPr>
        <w:t>’s World of Invention</w:t>
      </w:r>
      <w:r w:rsidRPr="00677DA4">
        <w:t>.</w:t>
      </w:r>
    </w:p>
    <w:p w:rsidR="00B83890" w:rsidRDefault="00B83890" w:rsidP="00B83890"/>
    <w:p w:rsidR="00B83890" w:rsidRPr="00677DA4" w:rsidRDefault="00B83890" w:rsidP="00B83890">
      <w:r>
        <w:t>Eight events of</w:t>
      </w:r>
      <w:r w:rsidRPr="00677DA4">
        <w:t xml:space="preserve"> </w:t>
      </w:r>
      <w:r w:rsidRPr="00677DA4">
        <w:rPr>
          <w:i/>
        </w:rPr>
        <w:t>Little Kids</w:t>
      </w:r>
      <w:r>
        <w:rPr>
          <w:i/>
        </w:rPr>
        <w:t>’</w:t>
      </w:r>
      <w:r w:rsidRPr="00677DA4">
        <w:rPr>
          <w:i/>
        </w:rPr>
        <w:t xml:space="preserve"> Day In</w:t>
      </w:r>
      <w:r>
        <w:rPr>
          <w:i/>
        </w:rPr>
        <w:t xml:space="preserve"> </w:t>
      </w:r>
      <w:r>
        <w:t>were presented at Scienceworks during the year</w:t>
      </w:r>
      <w:r w:rsidRPr="0028483C">
        <w:t>,</w:t>
      </w:r>
      <w:r>
        <w:t xml:space="preserve"> attended by more than 7500 people. This program provides</w:t>
      </w:r>
      <w:r w:rsidRPr="00677DA4">
        <w:t xml:space="preserve"> special days tailored to meet the needs of early years</w:t>
      </w:r>
      <w:r>
        <w:t>’</w:t>
      </w:r>
      <w:r w:rsidRPr="00677DA4">
        <w:t xml:space="preserve"> audiences, especially children under </w:t>
      </w:r>
      <w:r>
        <w:t xml:space="preserve">the age of </w:t>
      </w:r>
      <w:r w:rsidRPr="00677DA4">
        <w:t xml:space="preserve">six years. </w:t>
      </w:r>
    </w:p>
    <w:p w:rsidR="00B83890" w:rsidRPr="00F54A18" w:rsidRDefault="00B83890" w:rsidP="00B83890"/>
    <w:p w:rsidR="00B83890" w:rsidRPr="00F54A18" w:rsidRDefault="00B83890" w:rsidP="00B83890">
      <w:pPr>
        <w:rPr>
          <w:bCs/>
        </w:rPr>
      </w:pPr>
      <w:r w:rsidRPr="00F54A18">
        <w:t>The Museum Victoria</w:t>
      </w:r>
      <w:r>
        <w:t>–</w:t>
      </w:r>
      <w:r w:rsidRPr="00F54A18">
        <w:t xml:space="preserve">developed exhibition </w:t>
      </w:r>
      <w:r w:rsidRPr="00F54A18">
        <w:rPr>
          <w:i/>
        </w:rPr>
        <w:t>The Art of Science</w:t>
      </w:r>
      <w:r w:rsidRPr="00F54A18">
        <w:t xml:space="preserve"> commenced a tour of regional Victorian and interstate venues in December 2012, with assistance from </w:t>
      </w:r>
      <w:r w:rsidRPr="00F54A18">
        <w:rPr>
          <w:bCs/>
        </w:rPr>
        <w:t>Visions Australia funding.</w:t>
      </w:r>
      <w:r>
        <w:rPr>
          <w:bCs/>
        </w:rPr>
        <w:t xml:space="preserve"> </w:t>
      </w:r>
      <w:r w:rsidRPr="00F54A18">
        <w:rPr>
          <w:bCs/>
        </w:rPr>
        <w:t>The exhibition is supported by a visually stunning website</w:t>
      </w:r>
      <w:r>
        <w:rPr>
          <w:bCs/>
        </w:rPr>
        <w:t>,</w:t>
      </w:r>
      <w:r w:rsidRPr="00F54A18">
        <w:rPr>
          <w:bCs/>
        </w:rPr>
        <w:t xml:space="preserve"> book, and an extensive education program. </w:t>
      </w:r>
    </w:p>
    <w:p w:rsidR="00B83890" w:rsidRDefault="00B83890" w:rsidP="00B83890"/>
    <w:p w:rsidR="00B83890" w:rsidRPr="00677DA4" w:rsidRDefault="00B83890" w:rsidP="00B83890">
      <w:r w:rsidRPr="001C4E14">
        <w:t>Museum Victoria’s Discovery Program delivered 1062 presentations and loans kits to 90,450 people; 61% of program participants were in regional Victoria. In September 2012, a series of programs were presented in partnership with the Mildura Arts Centre. The Federation Handbells were used in performances to an estimated audience of 52,128 people during the year. Highlights include several interstate performances in Queensland by the arts company Super Critical Mass, as well as</w:t>
      </w:r>
      <w:r w:rsidRPr="00677DA4">
        <w:t xml:space="preserve"> performances in Federation Square and </w:t>
      </w:r>
      <w:r>
        <w:t xml:space="preserve">the </w:t>
      </w:r>
      <w:r w:rsidRPr="00677DA4">
        <w:t>Arts Centre Melbourne.</w:t>
      </w:r>
    </w:p>
    <w:p w:rsidR="00B83890" w:rsidRDefault="00B83890" w:rsidP="00B83890"/>
    <w:p w:rsidR="00B83890" w:rsidRPr="00677DA4" w:rsidRDefault="00B83890" w:rsidP="00B83890">
      <w:r w:rsidRPr="00677DA4">
        <w:t xml:space="preserve">The Pumping Station website </w:t>
      </w:r>
      <w:r>
        <w:t>has been</w:t>
      </w:r>
      <w:r w:rsidRPr="00677DA4">
        <w:t xml:space="preserve"> upgraded to </w:t>
      </w:r>
      <w:r>
        <w:t>provide</w:t>
      </w:r>
      <w:r w:rsidRPr="00677DA4">
        <w:t xml:space="preserve"> greater public access to the history of the building. </w:t>
      </w:r>
      <w:r>
        <w:t>More than</w:t>
      </w:r>
      <w:r w:rsidRPr="00677DA4">
        <w:t xml:space="preserve"> 95 archival images, a virtual tour and </w:t>
      </w:r>
      <w:r>
        <w:t>five</w:t>
      </w:r>
      <w:r w:rsidRPr="00677DA4">
        <w:t xml:space="preserve"> </w:t>
      </w:r>
      <w:r>
        <w:t xml:space="preserve">newly </w:t>
      </w:r>
      <w:r w:rsidRPr="00677DA4">
        <w:t xml:space="preserve">commissioned expert videos </w:t>
      </w:r>
      <w:r>
        <w:t>now form</w:t>
      </w:r>
      <w:r w:rsidRPr="00677DA4">
        <w:t xml:space="preserve"> part of the site’s content.</w:t>
      </w:r>
    </w:p>
    <w:p w:rsidR="00B83890" w:rsidRPr="00DE23B3" w:rsidRDefault="00B83890" w:rsidP="00B83890"/>
    <w:p w:rsidR="00B83890" w:rsidRDefault="00B83890" w:rsidP="00B83890">
      <w:pPr>
        <w:pStyle w:val="Heading2"/>
      </w:pPr>
      <w:r w:rsidRPr="00DE23B3">
        <w:t>Partner</w:t>
      </w:r>
      <w:r>
        <w:t>ing</w:t>
      </w:r>
      <w:r w:rsidRPr="00DE23B3">
        <w:t xml:space="preserve"> </w:t>
      </w:r>
      <w:r>
        <w:t>w</w:t>
      </w:r>
      <w:r w:rsidRPr="00DE23B3">
        <w:t xml:space="preserve">ith Indigenous </w:t>
      </w:r>
      <w:r>
        <w:t>C</w:t>
      </w:r>
      <w:r w:rsidRPr="00DE23B3">
        <w:t xml:space="preserve">ommunities </w:t>
      </w:r>
    </w:p>
    <w:p w:rsidR="00B83890" w:rsidRPr="00677DA4" w:rsidRDefault="00B83890" w:rsidP="00B83890">
      <w:r w:rsidRPr="00AC5348">
        <w:rPr>
          <w:i/>
        </w:rPr>
        <w:t>Waa &amp; the Seven Sisters</w:t>
      </w:r>
      <w:r>
        <w:t xml:space="preserve"> was presented at Melbourne Museum throughout January 2013. This theatre program</w:t>
      </w:r>
      <w:r w:rsidRPr="00677DA4">
        <w:t xml:space="preserve"> introduced audiences to a traditional Victorian creation story belong</w:t>
      </w:r>
      <w:r>
        <w:t>ing</w:t>
      </w:r>
      <w:r w:rsidRPr="00677DA4">
        <w:t xml:space="preserve"> to the Kulin peoples, </w:t>
      </w:r>
      <w:r>
        <w:t>about</w:t>
      </w:r>
      <w:r w:rsidRPr="00677DA4">
        <w:t xml:space="preserve"> how the</w:t>
      </w:r>
      <w:r>
        <w:t>y</w:t>
      </w:r>
      <w:r w:rsidRPr="00677DA4">
        <w:t xml:space="preserve"> were given the secret of fire and of how Waa the crow was turned black. </w:t>
      </w:r>
    </w:p>
    <w:p w:rsidR="00B83890" w:rsidRPr="00677DA4" w:rsidRDefault="00B83890" w:rsidP="00B83890"/>
    <w:p w:rsidR="00B83890" w:rsidRPr="00F54A18" w:rsidRDefault="00B83890" w:rsidP="00B83890">
      <w:r w:rsidRPr="00F54A18">
        <w:t xml:space="preserve">Museum Victoria </w:t>
      </w:r>
      <w:r>
        <w:t xml:space="preserve">has </w:t>
      </w:r>
      <w:r w:rsidRPr="00F54A18">
        <w:t>signed a memorandum of understanding with the Victorian Aboriginal Corporation for Languages</w:t>
      </w:r>
      <w:r>
        <w:t xml:space="preserve"> (VACL)</w:t>
      </w:r>
      <w:r w:rsidRPr="00F54A18">
        <w:t>.</w:t>
      </w:r>
      <w:r>
        <w:t xml:space="preserve"> </w:t>
      </w:r>
      <w:r w:rsidRPr="00F54A18">
        <w:t>The memorandum acknowledges the major contributions VACL has made to</w:t>
      </w:r>
      <w:r>
        <w:t xml:space="preserve"> developing the exhibition</w:t>
      </w:r>
      <w:r w:rsidRPr="00F54A18">
        <w:t xml:space="preserve"> </w:t>
      </w:r>
      <w:r w:rsidRPr="00F54A18">
        <w:rPr>
          <w:i/>
        </w:rPr>
        <w:t>First Peoples</w:t>
      </w:r>
      <w:r>
        <w:t>.</w:t>
      </w:r>
      <w:r w:rsidRPr="00E65772">
        <w:t xml:space="preserve"> </w:t>
      </w:r>
      <w:r w:rsidRPr="00E65772">
        <w:rPr>
          <w:rFonts w:cs="Arial"/>
        </w:rPr>
        <w:t>The exhibition, which is being developed with Victorian Aboriginal communities, focuses on the first peoples of Victoria, and invites visitors to connect to their stories through people, culture, history and place.</w:t>
      </w:r>
      <w:r w:rsidRPr="00E65772">
        <w:t xml:space="preserve"> </w:t>
      </w:r>
      <w:r>
        <w:t xml:space="preserve">The memorandum </w:t>
      </w:r>
      <w:r w:rsidRPr="00F54A18">
        <w:t>also builds a foundation for develop</w:t>
      </w:r>
      <w:r>
        <w:t>ing</w:t>
      </w:r>
      <w:r w:rsidRPr="00F54A18">
        <w:t xml:space="preserve"> programs to train staff and </w:t>
      </w:r>
      <w:r>
        <w:t>create</w:t>
      </w:r>
      <w:r w:rsidRPr="00F54A18">
        <w:t xml:space="preserve"> online content.</w:t>
      </w:r>
    </w:p>
    <w:p w:rsidR="00B83890" w:rsidRDefault="00B83890" w:rsidP="00B83890"/>
    <w:p w:rsidR="00B83890" w:rsidRDefault="00B83890" w:rsidP="00B83890"/>
    <w:p w:rsidR="00B83890" w:rsidRDefault="00B83890" w:rsidP="00B83890">
      <w:pPr>
        <w:pStyle w:val="Heading2"/>
      </w:pPr>
      <w:r>
        <w:lastRenderedPageBreak/>
        <w:t>Collaborating</w:t>
      </w:r>
      <w:r w:rsidRPr="00DE23B3">
        <w:t xml:space="preserve"> </w:t>
      </w:r>
      <w:r>
        <w:t>w</w:t>
      </w:r>
      <w:r w:rsidRPr="00DE23B3">
        <w:t xml:space="preserve">ith </w:t>
      </w:r>
      <w:r>
        <w:t>D</w:t>
      </w:r>
      <w:r w:rsidRPr="00DE23B3">
        <w:t xml:space="preserve">iverse </w:t>
      </w:r>
      <w:r>
        <w:t>C</w:t>
      </w:r>
      <w:r w:rsidRPr="00DE23B3">
        <w:t xml:space="preserve">ommunities </w:t>
      </w:r>
    </w:p>
    <w:p w:rsidR="00B83890" w:rsidRDefault="00B83890" w:rsidP="00B83890">
      <w:r>
        <w:t>The Immigration Museum</w:t>
      </w:r>
      <w:r w:rsidRPr="00F54A18">
        <w:t xml:space="preserve"> exhibition </w:t>
      </w:r>
      <w:r w:rsidRPr="00F54A18">
        <w:rPr>
          <w:i/>
        </w:rPr>
        <w:t>Identity: Yours, Mine, Ours</w:t>
      </w:r>
      <w:r w:rsidRPr="00F54A18">
        <w:t xml:space="preserve"> won a 2012 Museums Australia (Victoria) Award for Large Museums.</w:t>
      </w:r>
    </w:p>
    <w:p w:rsidR="00521470" w:rsidRDefault="00521470" w:rsidP="00B83890"/>
    <w:p w:rsidR="00B83890" w:rsidRPr="00677DA4" w:rsidRDefault="00B83890" w:rsidP="00B83890">
      <w:r w:rsidRPr="00677DA4">
        <w:rPr>
          <w:i/>
        </w:rPr>
        <w:t>Talking Difference</w:t>
      </w:r>
      <w:r w:rsidRPr="00677DA4">
        <w:t xml:space="preserve"> is a multi-platform </w:t>
      </w:r>
      <w:r>
        <w:t>digital</w:t>
      </w:r>
      <w:r w:rsidRPr="00677DA4">
        <w:t xml:space="preserve"> project designed to facilitate dialogue about cultural difference and </w:t>
      </w:r>
      <w:r>
        <w:t xml:space="preserve">to </w:t>
      </w:r>
      <w:r w:rsidRPr="00677DA4">
        <w:t xml:space="preserve">promote diversity. The </w:t>
      </w:r>
      <w:r>
        <w:t xml:space="preserve">project’s </w:t>
      </w:r>
      <w:r w:rsidRPr="00677DA4">
        <w:t xml:space="preserve">first stage, supported by VicHealth, achieved a major milestone with the public launch of </w:t>
      </w:r>
      <w:r>
        <w:t xml:space="preserve">a </w:t>
      </w:r>
      <w:r w:rsidRPr="00677DA4">
        <w:t>website in May</w:t>
      </w:r>
      <w:r>
        <w:t xml:space="preserve"> 2013</w:t>
      </w:r>
      <w:r w:rsidRPr="00677DA4">
        <w:t>. The second stage, which is focused on schools in Hume, Casey, Brimbank and Melton, commenced development in 2013 and will continue until 2015.</w:t>
      </w:r>
    </w:p>
    <w:p w:rsidR="00B83890" w:rsidRPr="00DE23B3" w:rsidRDefault="00B83890" w:rsidP="00B83890"/>
    <w:p w:rsidR="00B83890" w:rsidRDefault="00B83890" w:rsidP="00B83890">
      <w:pPr>
        <w:pStyle w:val="Heading2"/>
      </w:pPr>
      <w:r w:rsidRPr="00DE23B3">
        <w:t>Position</w:t>
      </w:r>
      <w:r>
        <w:t>ing Museum Victoria as a Learning S</w:t>
      </w:r>
      <w:r w:rsidRPr="00DE23B3">
        <w:t>pecialist</w:t>
      </w:r>
    </w:p>
    <w:p w:rsidR="00B83890" w:rsidRPr="00677DA4" w:rsidRDefault="00B83890" w:rsidP="00B83890">
      <w:r w:rsidRPr="00677DA4">
        <w:t xml:space="preserve">Museum Victoria has been a leader in supporting teachers implementing the Australian Curriculum by developing a range of digital resources. </w:t>
      </w:r>
      <w:r>
        <w:t xml:space="preserve">In early 2013, </w:t>
      </w:r>
      <w:hyperlink r:id="rId11" w:history="1">
        <w:r w:rsidRPr="00645257">
          <w:rPr>
            <w:rStyle w:val="Hyperlink"/>
            <w:rFonts w:eastAsiaTheme="majorEastAsia"/>
            <w:i/>
            <w:color w:val="auto"/>
          </w:rPr>
          <w:t>Learning Lab</w:t>
        </w:r>
        <w:r w:rsidRPr="00AC5348">
          <w:rPr>
            <w:rStyle w:val="Hyperlink"/>
            <w:rFonts w:eastAsiaTheme="majorEastAsia" w:cs="Arial"/>
            <w:color w:val="auto"/>
          </w:rPr>
          <w:t xml:space="preserve"> </w:t>
        </w:r>
      </w:hyperlink>
      <w:r>
        <w:t xml:space="preserve">was launched. </w:t>
      </w:r>
      <w:r w:rsidRPr="00645257">
        <w:rPr>
          <w:i/>
        </w:rPr>
        <w:t>Learning Lab</w:t>
      </w:r>
      <w:r w:rsidRPr="00677DA4">
        <w:t xml:space="preserve"> is an interactive website containing content for students and teachers in primary science and history, and secondary history. Developed in partnership with Education Services Australia</w:t>
      </w:r>
      <w:r>
        <w:t>,</w:t>
      </w:r>
      <w:r w:rsidRPr="00677DA4">
        <w:t xml:space="preserve"> this resource is also linked in </w:t>
      </w:r>
      <w:r w:rsidRPr="00645257">
        <w:rPr>
          <w:i/>
        </w:rPr>
        <w:t>Scootle</w:t>
      </w:r>
      <w:r w:rsidRPr="00677DA4">
        <w:t>, the national portal for resources supporting the Australian Curriculum online.</w:t>
      </w:r>
    </w:p>
    <w:p w:rsidR="00B83890" w:rsidRPr="00677DA4" w:rsidRDefault="00B83890" w:rsidP="00B83890"/>
    <w:p w:rsidR="00B83890" w:rsidRPr="00677DA4" w:rsidRDefault="00B83890" w:rsidP="00B83890">
      <w:r>
        <w:t>A new</w:t>
      </w:r>
      <w:r w:rsidRPr="00677DA4">
        <w:t xml:space="preserve"> suite of secondary programs </w:t>
      </w:r>
      <w:r>
        <w:t>has been developed, which</w:t>
      </w:r>
      <w:r w:rsidRPr="00677DA4">
        <w:t xml:space="preserve"> challenge</w:t>
      </w:r>
      <w:r>
        <w:t>s</w:t>
      </w:r>
      <w:r w:rsidRPr="00677DA4">
        <w:t xml:space="preserve"> lower secondary students and engage</w:t>
      </w:r>
      <w:r>
        <w:t>s</w:t>
      </w:r>
      <w:r w:rsidRPr="00677DA4">
        <w:t xml:space="preserve"> their science learning. The programs, focused on evolution and geology, bring students together in teams </w:t>
      </w:r>
      <w:r>
        <w:t>to</w:t>
      </w:r>
      <w:r w:rsidRPr="00677DA4">
        <w:t xml:space="preserve"> use digital tools to research, record and communicate the observations they have made in the </w:t>
      </w:r>
      <w:r>
        <w:t>s</w:t>
      </w:r>
      <w:r w:rsidRPr="00677DA4">
        <w:t>cience exhibitions or from working with hands</w:t>
      </w:r>
      <w:r>
        <w:t>-</w:t>
      </w:r>
      <w:r w:rsidRPr="00677DA4">
        <w:t>on collections.</w:t>
      </w:r>
    </w:p>
    <w:p w:rsidR="00B83890" w:rsidRPr="00677DA4" w:rsidRDefault="00B83890" w:rsidP="00B83890"/>
    <w:p w:rsidR="00B83890" w:rsidRPr="00677DA4" w:rsidRDefault="00B83890" w:rsidP="00B83890">
      <w:r w:rsidRPr="00677DA4">
        <w:t xml:space="preserve">Museum Victoria expanded its </w:t>
      </w:r>
      <w:r w:rsidRPr="00645257">
        <w:t>Fresh Science</w:t>
      </w:r>
      <w:r w:rsidRPr="00677DA4">
        <w:t xml:space="preserve"> partnership by hosting the Victorian state finals and workshop at Scienceworks in 2013</w:t>
      </w:r>
      <w:r>
        <w:t>. We also</w:t>
      </w:r>
      <w:r w:rsidRPr="00677DA4">
        <w:t xml:space="preserve"> support</w:t>
      </w:r>
      <w:r>
        <w:t>ed</w:t>
      </w:r>
      <w:r w:rsidRPr="00677DA4">
        <w:t xml:space="preserve"> the 2012 national workshops and gala dinner</w:t>
      </w:r>
      <w:r>
        <w:t>,</w:t>
      </w:r>
      <w:r w:rsidRPr="00677DA4">
        <w:t xml:space="preserve"> at Melbourne Museum. </w:t>
      </w:r>
    </w:p>
    <w:p w:rsidR="00B83890" w:rsidRDefault="00B83890" w:rsidP="00B83890"/>
    <w:p w:rsidR="00B83890" w:rsidRPr="00162D08" w:rsidRDefault="00B83890" w:rsidP="00B83890">
      <w:r w:rsidRPr="00677DA4">
        <w:t>During the year</w:t>
      </w:r>
      <w:r>
        <w:t>,</w:t>
      </w:r>
      <w:r w:rsidRPr="00677DA4">
        <w:t xml:space="preserve"> Museum Victoria hosted 54 </w:t>
      </w:r>
      <w:r>
        <w:t>i</w:t>
      </w:r>
      <w:r w:rsidRPr="00677DA4">
        <w:t>nternships in departments across the organisation, including our Global Challenge Internship winner</w:t>
      </w:r>
      <w:r>
        <w:t>,</w:t>
      </w:r>
      <w:r w:rsidRPr="00677DA4">
        <w:t xml:space="preserve"> Emily Woolley</w:t>
      </w:r>
      <w:r>
        <w:t>,</w:t>
      </w:r>
      <w:r w:rsidRPr="00677DA4">
        <w:t xml:space="preserve"> from the University of Birmingham. </w:t>
      </w:r>
    </w:p>
    <w:p w:rsidR="00B83890" w:rsidRPr="00162D08" w:rsidRDefault="00B83890" w:rsidP="00B83890"/>
    <w:p w:rsidR="00B83890" w:rsidRDefault="00B83890" w:rsidP="00B83890">
      <w:pPr>
        <w:pStyle w:val="Heading1"/>
      </w:pPr>
      <w:r w:rsidRPr="00162D08">
        <w:br w:type="page"/>
      </w:r>
      <w:r w:rsidRPr="00162D08">
        <w:lastRenderedPageBreak/>
        <w:t xml:space="preserve">Strategic Direction 4 </w:t>
      </w:r>
    </w:p>
    <w:p w:rsidR="00B83890" w:rsidRDefault="00B83890" w:rsidP="00B83890">
      <w:pPr>
        <w:pStyle w:val="Heading1"/>
        <w:rPr>
          <w:color w:val="FF0000"/>
        </w:rPr>
      </w:pPr>
      <w:r w:rsidRPr="00162D08">
        <w:t>Innovative People, Creative Museum</w:t>
      </w:r>
    </w:p>
    <w:p w:rsidR="00B83890" w:rsidRPr="00823151" w:rsidRDefault="00B83890" w:rsidP="00B83890"/>
    <w:p w:rsidR="00B83890" w:rsidRDefault="00B83890" w:rsidP="00B83890">
      <w:pPr>
        <w:pStyle w:val="Heading2"/>
      </w:pPr>
      <w:r>
        <w:t>B</w:t>
      </w:r>
      <w:r w:rsidRPr="002D258C">
        <w:t>uild</w:t>
      </w:r>
      <w:r>
        <w:t>ing</w:t>
      </w:r>
      <w:r w:rsidRPr="002D258C">
        <w:t xml:space="preserve"> a </w:t>
      </w:r>
      <w:r>
        <w:t>C</w:t>
      </w:r>
      <w:r w:rsidRPr="002D258C">
        <w:t xml:space="preserve">ulture of </w:t>
      </w:r>
      <w:r>
        <w:t>I</w:t>
      </w:r>
      <w:r w:rsidRPr="002D258C">
        <w:t>nnovation</w:t>
      </w:r>
    </w:p>
    <w:p w:rsidR="00B83890" w:rsidRPr="00706EED" w:rsidRDefault="00B83890" w:rsidP="00B83890">
      <w:r w:rsidRPr="00706EED">
        <w:t xml:space="preserve">Museum Victoria’s continued success and strong performance </w:t>
      </w:r>
      <w:r>
        <w:t>are</w:t>
      </w:r>
      <w:r w:rsidRPr="00706EED">
        <w:t xml:space="preserve"> realised through the commitment and expertise of our people, </w:t>
      </w:r>
      <w:r>
        <w:t xml:space="preserve">and </w:t>
      </w:r>
      <w:r w:rsidRPr="00706EED">
        <w:t xml:space="preserve">maintained by </w:t>
      </w:r>
      <w:r>
        <w:t>the</w:t>
      </w:r>
      <w:r w:rsidRPr="00706EED">
        <w:t xml:space="preserve"> learning and development framework</w:t>
      </w:r>
      <w:r>
        <w:t xml:space="preserve"> introduced in </w:t>
      </w:r>
      <w:r w:rsidRPr="0025068A">
        <w:t>2011–12.</w:t>
      </w:r>
      <w:r>
        <w:t xml:space="preserve"> T</w:t>
      </w:r>
      <w:r w:rsidRPr="0025068A">
        <w:t>he framework was expanded</w:t>
      </w:r>
      <w:r w:rsidRPr="00706EED">
        <w:t xml:space="preserve"> </w:t>
      </w:r>
      <w:r>
        <w:t xml:space="preserve">in </w:t>
      </w:r>
      <w:r w:rsidRPr="0025068A">
        <w:t>2012–13</w:t>
      </w:r>
      <w:r>
        <w:t xml:space="preserve"> </w:t>
      </w:r>
      <w:r w:rsidRPr="00706EED">
        <w:t xml:space="preserve">to reflect the dynamics of </w:t>
      </w:r>
      <w:r>
        <w:t>a</w:t>
      </w:r>
      <w:r w:rsidRPr="00706EED">
        <w:t xml:space="preserve"> changing economic climate, focus</w:t>
      </w:r>
      <w:r>
        <w:t>ing</w:t>
      </w:r>
      <w:r w:rsidRPr="00706EED">
        <w:t xml:space="preserve"> on </w:t>
      </w:r>
      <w:r>
        <w:t>developing resilience, strategic awareness and operating efficiencies</w:t>
      </w:r>
      <w:r w:rsidRPr="00706EED">
        <w:t xml:space="preserve">. </w:t>
      </w:r>
    </w:p>
    <w:p w:rsidR="00B83890" w:rsidRPr="00706EED" w:rsidRDefault="00B83890" w:rsidP="00B83890"/>
    <w:p w:rsidR="00B83890" w:rsidRDefault="00B83890" w:rsidP="00B83890">
      <w:r>
        <w:t>T</w:t>
      </w:r>
      <w:r w:rsidRPr="00706EED">
        <w:t xml:space="preserve">he suite of courses available online </w:t>
      </w:r>
      <w:r>
        <w:t>now</w:t>
      </w:r>
      <w:r w:rsidRPr="00706EED">
        <w:t xml:space="preserve"> include</w:t>
      </w:r>
      <w:r>
        <w:t>s</w:t>
      </w:r>
      <w:r w:rsidRPr="00706EED">
        <w:t xml:space="preserve"> </w:t>
      </w:r>
      <w:r>
        <w:t>s</w:t>
      </w:r>
      <w:r w:rsidRPr="00706EED">
        <w:t xml:space="preserve">trategic decision making, </w:t>
      </w:r>
      <w:r>
        <w:t>a</w:t>
      </w:r>
      <w:r w:rsidRPr="00706EED">
        <w:t xml:space="preserve">ccounting and </w:t>
      </w:r>
      <w:r>
        <w:t>l</w:t>
      </w:r>
      <w:r w:rsidRPr="00706EED">
        <w:t>eading organisational change. Core compliance sessions, such as bullying prevention, equal opportunity and code of conduct, continue to be mandatory for all staff.</w:t>
      </w:r>
    </w:p>
    <w:p w:rsidR="00B83890" w:rsidRPr="00706EED" w:rsidRDefault="00B83890" w:rsidP="00B83890"/>
    <w:p w:rsidR="00B83890" w:rsidRPr="00706EED" w:rsidRDefault="00B83890" w:rsidP="00B83890">
      <w:r w:rsidRPr="00706EED">
        <w:t>In addition to corporate training programs, managers have supported employee development needs through seminars, conferences, temporary assignments, mentor programs and cross-divisional project opportunities.</w:t>
      </w:r>
    </w:p>
    <w:p w:rsidR="00B83890" w:rsidRDefault="00B83890" w:rsidP="00B83890"/>
    <w:p w:rsidR="00B83890" w:rsidRDefault="00B83890" w:rsidP="00B83890">
      <w:r w:rsidRPr="00677DA4">
        <w:t>After 26 years at Museum Victoria</w:t>
      </w:r>
      <w:r>
        <w:t>,</w:t>
      </w:r>
      <w:r w:rsidRPr="00677DA4">
        <w:t xml:space="preserve"> and Manager, Scienceworks for ten years, Genevieve Fahey retired in February 2013. Dr Nurin Veis is the newly appointed Manager, Scienceworks</w:t>
      </w:r>
      <w:r>
        <w:t>;</w:t>
      </w:r>
      <w:r w:rsidRPr="00677DA4">
        <w:t xml:space="preserve"> </w:t>
      </w:r>
      <w:r>
        <w:t xml:space="preserve">she </w:t>
      </w:r>
      <w:r w:rsidRPr="00677DA4">
        <w:t xml:space="preserve">brings a wealth of research, industry practice and public communication of science to </w:t>
      </w:r>
      <w:r>
        <w:t>this</w:t>
      </w:r>
      <w:r w:rsidRPr="00677DA4">
        <w:t xml:space="preserve"> role. </w:t>
      </w:r>
    </w:p>
    <w:p w:rsidR="00B83890" w:rsidRDefault="00B83890" w:rsidP="00B83890"/>
    <w:p w:rsidR="00B83890" w:rsidRDefault="00B83890" w:rsidP="00B83890">
      <w:pPr>
        <w:pStyle w:val="Heading2"/>
      </w:pPr>
      <w:r w:rsidRPr="002D258C">
        <w:t>Develop</w:t>
      </w:r>
      <w:r>
        <w:t>ing</w:t>
      </w:r>
      <w:r w:rsidRPr="002D258C">
        <w:t xml:space="preserve"> an </w:t>
      </w:r>
      <w:r>
        <w:t xml:space="preserve">Agile Networked Organisation </w:t>
      </w:r>
    </w:p>
    <w:p w:rsidR="00B83890" w:rsidRPr="00F54A18" w:rsidRDefault="00B83890" w:rsidP="00B83890">
      <w:r w:rsidRPr="00F54A18">
        <w:t xml:space="preserve">The Communication and Partnerships department was formed following the organisational restructure in 2012. This new department brings into close alignment staff responsible for brand, communication, marketing and public relations. </w:t>
      </w:r>
      <w:r>
        <w:t xml:space="preserve">It </w:t>
      </w:r>
      <w:r w:rsidRPr="00F54A18">
        <w:t>i</w:t>
      </w:r>
      <w:r>
        <w:t xml:space="preserve">s </w:t>
      </w:r>
      <w:r w:rsidRPr="00F54A18">
        <w:t>dedicated to cultivating relationships with Museum Victo</w:t>
      </w:r>
      <w:r>
        <w:t>ria’s audiences;</w:t>
      </w:r>
      <w:r w:rsidRPr="00F54A18">
        <w:t xml:space="preserve"> </w:t>
      </w:r>
      <w:r>
        <w:t xml:space="preserve">to achieving </w:t>
      </w:r>
      <w:r w:rsidRPr="00F54A18">
        <w:t>audience insights</w:t>
      </w:r>
      <w:r>
        <w:t>;</w:t>
      </w:r>
      <w:r w:rsidRPr="00F54A18">
        <w:t xml:space="preserve"> </w:t>
      </w:r>
      <w:r>
        <w:t xml:space="preserve">to </w:t>
      </w:r>
      <w:r w:rsidRPr="00F54A18">
        <w:t>member, stakeholder and government relations</w:t>
      </w:r>
      <w:r>
        <w:t>;</w:t>
      </w:r>
      <w:r w:rsidRPr="00F54A18">
        <w:t xml:space="preserve"> and </w:t>
      </w:r>
      <w:r>
        <w:t xml:space="preserve">to </w:t>
      </w:r>
      <w:r w:rsidRPr="00F54A18">
        <w:t xml:space="preserve">the museum’s activities around sponsorship and fundraising. </w:t>
      </w:r>
    </w:p>
    <w:p w:rsidR="00B83890" w:rsidRPr="00F54A18" w:rsidRDefault="00B83890" w:rsidP="00B83890"/>
    <w:p w:rsidR="00B83890" w:rsidRDefault="00B83890" w:rsidP="00B83890">
      <w:r w:rsidRPr="00F54A18">
        <w:t>This is an important strategic alignment</w:t>
      </w:r>
      <w:r>
        <w:t>,</w:t>
      </w:r>
      <w:r w:rsidRPr="00F54A18">
        <w:t xml:space="preserve"> </w:t>
      </w:r>
      <w:r>
        <w:t>which</w:t>
      </w:r>
      <w:r w:rsidRPr="00F54A18">
        <w:t xml:space="preserve"> will be valuable as the museum explore</w:t>
      </w:r>
      <w:r>
        <w:t>s</w:t>
      </w:r>
      <w:r w:rsidRPr="00F54A18">
        <w:t xml:space="preserve"> ways it can better generate funds from corporations and philanthropic individuals and organisations. </w:t>
      </w:r>
    </w:p>
    <w:p w:rsidR="00B83890" w:rsidRDefault="00B83890" w:rsidP="00B83890"/>
    <w:p w:rsidR="00B83890" w:rsidRPr="00677DA4" w:rsidRDefault="00B83890" w:rsidP="00B83890">
      <w:r w:rsidRPr="00677DA4">
        <w:t xml:space="preserve">The </w:t>
      </w:r>
      <w:r>
        <w:t>B</w:t>
      </w:r>
      <w:r w:rsidRPr="00677DA4">
        <w:t xml:space="preserve">ookings and </w:t>
      </w:r>
      <w:r>
        <w:t>E</w:t>
      </w:r>
      <w:r w:rsidRPr="00677DA4">
        <w:t xml:space="preserve">nquiries </w:t>
      </w:r>
      <w:r>
        <w:t>T</w:t>
      </w:r>
      <w:r w:rsidRPr="00677DA4">
        <w:t>eam service all telephone</w:t>
      </w:r>
      <w:r>
        <w:t>-</w:t>
      </w:r>
      <w:r w:rsidRPr="00677DA4">
        <w:t xml:space="preserve">based enquiries and bookings across the </w:t>
      </w:r>
      <w:r>
        <w:t>three</w:t>
      </w:r>
      <w:r w:rsidRPr="00677DA4">
        <w:t xml:space="preserve"> museums.</w:t>
      </w:r>
      <w:r>
        <w:t xml:space="preserve"> </w:t>
      </w:r>
      <w:r w:rsidRPr="00677DA4">
        <w:t>In 2012</w:t>
      </w:r>
      <w:r>
        <w:t>–</w:t>
      </w:r>
      <w:r w:rsidRPr="00677DA4">
        <w:t>13</w:t>
      </w:r>
      <w:r>
        <w:t>,</w:t>
      </w:r>
      <w:r w:rsidRPr="00677DA4">
        <w:t xml:space="preserve"> </w:t>
      </w:r>
      <w:r>
        <w:t>the team was</w:t>
      </w:r>
      <w:r w:rsidRPr="00677DA4">
        <w:t xml:space="preserve"> trained to manage enquiries generated online and via </w:t>
      </w:r>
      <w:r>
        <w:t>s</w:t>
      </w:r>
      <w:r w:rsidRPr="00677DA4">
        <w:t xml:space="preserve">ocial </w:t>
      </w:r>
      <w:r>
        <w:t>m</w:t>
      </w:r>
      <w:r w:rsidRPr="00677DA4">
        <w:t>edia.</w:t>
      </w:r>
    </w:p>
    <w:p w:rsidR="00B83890" w:rsidRDefault="00B83890" w:rsidP="00B83890"/>
    <w:p w:rsidR="00B83890" w:rsidRPr="00677DA4" w:rsidRDefault="00B83890" w:rsidP="00B83890">
      <w:r w:rsidRPr="00677DA4">
        <w:t xml:space="preserve">Museum Victoria has </w:t>
      </w:r>
      <w:r>
        <w:t>552</w:t>
      </w:r>
      <w:r w:rsidRPr="00677DA4">
        <w:t xml:space="preserve"> active volunteers</w:t>
      </w:r>
      <w:r>
        <w:t>,</w:t>
      </w:r>
      <w:r w:rsidRPr="00677DA4">
        <w:t xml:space="preserve"> who contributed </w:t>
      </w:r>
      <w:r>
        <w:t>49,908</w:t>
      </w:r>
      <w:r w:rsidRPr="00677DA4">
        <w:t xml:space="preserve"> hours during 2012</w:t>
      </w:r>
      <w:r>
        <w:t>–</w:t>
      </w:r>
      <w:r w:rsidRPr="00677DA4">
        <w:t>13.</w:t>
      </w:r>
      <w:r>
        <w:t xml:space="preserve"> </w:t>
      </w:r>
      <w:r w:rsidRPr="00677DA4">
        <w:t>As part of Scienceworks</w:t>
      </w:r>
      <w:r>
        <w:t>’</w:t>
      </w:r>
      <w:r w:rsidRPr="00677DA4">
        <w:t xml:space="preserve"> 2</w:t>
      </w:r>
      <w:r>
        <w:t>1st</w:t>
      </w:r>
      <w:r w:rsidRPr="00677DA4">
        <w:t xml:space="preserve"> </w:t>
      </w:r>
      <w:r>
        <w:t xml:space="preserve">anniversary, </w:t>
      </w:r>
      <w:r w:rsidRPr="00677DA4">
        <w:t xml:space="preserve">11 volunteers </w:t>
      </w:r>
      <w:r>
        <w:t>were acknowledged</w:t>
      </w:r>
      <w:r w:rsidRPr="00677DA4">
        <w:t xml:space="preserve"> </w:t>
      </w:r>
      <w:r>
        <w:t>for their continuous</w:t>
      </w:r>
      <w:r w:rsidRPr="00677DA4">
        <w:t xml:space="preserve"> participat</w:t>
      </w:r>
      <w:r>
        <w:t>ion</w:t>
      </w:r>
      <w:r w:rsidRPr="00677DA4">
        <w:t xml:space="preserve"> in the program since </w:t>
      </w:r>
      <w:r>
        <w:t xml:space="preserve">Scienceworks </w:t>
      </w:r>
      <w:r w:rsidRPr="00677DA4">
        <w:t>open</w:t>
      </w:r>
      <w:r>
        <w:t>ed</w:t>
      </w:r>
      <w:r w:rsidRPr="00677DA4">
        <w:t xml:space="preserve"> in 1992. </w:t>
      </w:r>
      <w:r>
        <w:t>Two in particular—</w:t>
      </w:r>
      <w:r w:rsidRPr="00677DA4">
        <w:t>Vic Wilks and Tom Brereton</w:t>
      </w:r>
      <w:r>
        <w:t>—</w:t>
      </w:r>
      <w:r w:rsidRPr="00677DA4">
        <w:t xml:space="preserve">have contributed a combined total of </w:t>
      </w:r>
      <w:r>
        <w:t>more than</w:t>
      </w:r>
      <w:r w:rsidRPr="00677DA4">
        <w:t xml:space="preserve"> 25,000 hours.</w:t>
      </w:r>
    </w:p>
    <w:p w:rsidR="00B83890" w:rsidRDefault="00B83890" w:rsidP="00B83890"/>
    <w:p w:rsidR="00B83890" w:rsidRDefault="00B83890" w:rsidP="00B83890">
      <w:r w:rsidRPr="00677DA4">
        <w:t>At Melbourn</w:t>
      </w:r>
      <w:r>
        <w:t>e Museum and Scienceworks, the Y</w:t>
      </w:r>
      <w:r w:rsidRPr="00677DA4">
        <w:t>ear 10 work</w:t>
      </w:r>
      <w:r>
        <w:t>-</w:t>
      </w:r>
      <w:r w:rsidRPr="00677DA4">
        <w:t>experience program wound down</w:t>
      </w:r>
      <w:r>
        <w:t>,</w:t>
      </w:r>
      <w:r w:rsidRPr="00677DA4">
        <w:t xml:space="preserve"> with 37 students </w:t>
      </w:r>
      <w:r>
        <w:t>in</w:t>
      </w:r>
      <w:r w:rsidRPr="00677DA4">
        <w:t xml:space="preserve"> the last intake. </w:t>
      </w:r>
      <w:r>
        <w:t>Fifteen students participated in the</w:t>
      </w:r>
      <w:r w:rsidRPr="00677DA4">
        <w:t xml:space="preserve"> second</w:t>
      </w:r>
      <w:r>
        <w:t>ary student placement programs Indigenous Pathways and Akorn,</w:t>
      </w:r>
      <w:r w:rsidRPr="00677DA4">
        <w:t xml:space="preserve"> </w:t>
      </w:r>
      <w:r>
        <w:t xml:space="preserve">which </w:t>
      </w:r>
      <w:r w:rsidRPr="00677DA4">
        <w:t xml:space="preserve">will continue </w:t>
      </w:r>
      <w:r>
        <w:t>into 2013–</w:t>
      </w:r>
      <w:r w:rsidRPr="00677DA4">
        <w:t>14</w:t>
      </w:r>
      <w:r>
        <w:t xml:space="preserve"> and beyond</w:t>
      </w:r>
      <w:r w:rsidRPr="00677DA4">
        <w:t>.</w:t>
      </w:r>
    </w:p>
    <w:p w:rsidR="00521470" w:rsidRDefault="00521470">
      <w:pPr>
        <w:keepNext w:val="0"/>
        <w:spacing w:after="200" w:line="276" w:lineRule="auto"/>
        <w:outlineLvl w:val="9"/>
        <w:rPr>
          <w:b/>
          <w:sz w:val="32"/>
          <w:szCs w:val="32"/>
        </w:rPr>
      </w:pPr>
      <w:r>
        <w:br w:type="page"/>
      </w:r>
    </w:p>
    <w:p w:rsidR="00B83890" w:rsidRDefault="00B83890" w:rsidP="00B83890">
      <w:pPr>
        <w:pStyle w:val="Heading2"/>
      </w:pPr>
      <w:r>
        <w:lastRenderedPageBreak/>
        <w:t>I</w:t>
      </w:r>
      <w:r w:rsidRPr="002D258C">
        <w:t>mplement</w:t>
      </w:r>
      <w:r>
        <w:t>ing</w:t>
      </w:r>
      <w:r w:rsidRPr="002D258C">
        <w:t xml:space="preserve"> </w:t>
      </w:r>
      <w:r>
        <w:t>E</w:t>
      </w:r>
      <w:r w:rsidRPr="002D258C">
        <w:t xml:space="preserve">fficient </w:t>
      </w:r>
      <w:r>
        <w:t>Business S</w:t>
      </w:r>
      <w:r w:rsidRPr="002D258C">
        <w:t>ystems</w:t>
      </w:r>
    </w:p>
    <w:p w:rsidR="00B83890" w:rsidRDefault="00B83890" w:rsidP="00B83890">
      <w:r>
        <w:t>A new system of high-level workforce planning, reporting and analysis has been introduced to help ensure an accurate understanding of Museum Victoria’s people, costs and skill needs, both in the present and in the future. It covers labour mix, diversity, turnover and leave analysis.</w:t>
      </w:r>
    </w:p>
    <w:p w:rsidR="00B83890" w:rsidRDefault="00B83890" w:rsidP="00B83890"/>
    <w:p w:rsidR="00B83890" w:rsidRDefault="00B83890" w:rsidP="00B83890">
      <w:r w:rsidRPr="0079572E">
        <w:t xml:space="preserve">Preparation of a new </w:t>
      </w:r>
      <w:r>
        <w:t xml:space="preserve">automated </w:t>
      </w:r>
      <w:r w:rsidRPr="0079572E">
        <w:t>rostering system</w:t>
      </w:r>
      <w:r>
        <w:t xml:space="preserve"> has begun. The aim is to reduce manual rostering and inefficiencies while maximising rostering opportunities, taking into account operational requirements.</w:t>
      </w:r>
    </w:p>
    <w:p w:rsidR="00B83890" w:rsidRDefault="00B83890" w:rsidP="00B83890"/>
    <w:p w:rsidR="00B83890" w:rsidRDefault="00B83890" w:rsidP="00B83890">
      <w:r w:rsidRPr="0038029C">
        <w:t>January</w:t>
      </w:r>
      <w:r>
        <w:t xml:space="preserve"> marked</w:t>
      </w:r>
      <w:r w:rsidRPr="0038029C">
        <w:t xml:space="preserve"> a major milestone in the implementation of Museum Victoria’s Customer Relationship Management system</w:t>
      </w:r>
      <w:r>
        <w:t xml:space="preserve"> </w:t>
      </w:r>
      <w:r w:rsidRPr="0038029C">
        <w:t>(CRM)</w:t>
      </w:r>
      <w:r>
        <w:t xml:space="preserve">, </w:t>
      </w:r>
      <w:r w:rsidRPr="0038029C">
        <w:t xml:space="preserve">with the transition of the stakeholder database into the new system. </w:t>
      </w:r>
      <w:r>
        <w:t xml:space="preserve">It </w:t>
      </w:r>
      <w:r w:rsidRPr="0038029C">
        <w:t>is a highly accessible system that will allow staff across Museum Victoria to maintain more accurate information and build stronger relationships with key stakeholders. As implementation continues over the next 12</w:t>
      </w:r>
      <w:r>
        <w:t xml:space="preserve"> to </w:t>
      </w:r>
      <w:r w:rsidRPr="0038029C">
        <w:t>18 months</w:t>
      </w:r>
      <w:r>
        <w:t>,</w:t>
      </w:r>
      <w:r w:rsidRPr="0038029C">
        <w:t xml:space="preserve"> </w:t>
      </w:r>
      <w:r>
        <w:t>further</w:t>
      </w:r>
      <w:r w:rsidRPr="0038029C">
        <w:t xml:space="preserve"> capacity will be added</w:t>
      </w:r>
      <w:r>
        <w:t>, which</w:t>
      </w:r>
      <w:r w:rsidRPr="0038029C">
        <w:t xml:space="preserve"> will ultimately enhance the visitor experience and provide opportunities for Museum Victoria to increase returns from areas such as </w:t>
      </w:r>
      <w:r>
        <w:t>m</w:t>
      </w:r>
      <w:r w:rsidRPr="0038029C">
        <w:t>embership, retail and car park</w:t>
      </w:r>
      <w:r>
        <w:t>ing</w:t>
      </w:r>
      <w:r w:rsidRPr="0038029C">
        <w:t>.</w:t>
      </w:r>
    </w:p>
    <w:p w:rsidR="00B83890" w:rsidRDefault="00B83890" w:rsidP="00B83890"/>
    <w:p w:rsidR="00B83890" w:rsidRPr="00467BE8" w:rsidRDefault="00B83890" w:rsidP="00B83890">
      <w:pPr>
        <w:rPr>
          <w:rFonts w:cs="Arial"/>
        </w:rPr>
      </w:pPr>
      <w:r>
        <w:rPr>
          <w:rFonts w:cs="Arial"/>
        </w:rPr>
        <w:t>Planning has commenced for a new wireless networking system, which will</w:t>
      </w:r>
      <w:r w:rsidRPr="00467BE8">
        <w:rPr>
          <w:rFonts w:cs="Arial"/>
        </w:rPr>
        <w:t xml:space="preserve"> </w:t>
      </w:r>
      <w:r>
        <w:rPr>
          <w:rFonts w:cs="Arial"/>
        </w:rPr>
        <w:t>meet</w:t>
      </w:r>
      <w:r w:rsidRPr="00467BE8">
        <w:rPr>
          <w:rFonts w:cs="Arial"/>
        </w:rPr>
        <w:t xml:space="preserve"> the demand for mobil</w:t>
      </w:r>
      <w:r>
        <w:rPr>
          <w:rFonts w:cs="Arial"/>
        </w:rPr>
        <w:t>e network connectivity for day-to-</w:t>
      </w:r>
      <w:r w:rsidRPr="00467BE8">
        <w:rPr>
          <w:rFonts w:cs="Arial"/>
        </w:rPr>
        <w:t xml:space="preserve">day staff activities and </w:t>
      </w:r>
      <w:r>
        <w:rPr>
          <w:rFonts w:cs="Arial"/>
        </w:rPr>
        <w:t>online content</w:t>
      </w:r>
      <w:r w:rsidRPr="00467BE8">
        <w:rPr>
          <w:rFonts w:cs="Arial"/>
        </w:rPr>
        <w:t xml:space="preserve"> deliver</w:t>
      </w:r>
      <w:r>
        <w:rPr>
          <w:rFonts w:cs="Arial"/>
        </w:rPr>
        <w:t>y</w:t>
      </w:r>
      <w:r w:rsidRPr="00467BE8">
        <w:rPr>
          <w:rFonts w:cs="Arial"/>
        </w:rPr>
        <w:t xml:space="preserve"> for exhibitions. It is expected to deliver improved wireless coverage in difficult environments</w:t>
      </w:r>
      <w:r>
        <w:rPr>
          <w:rFonts w:cs="Arial"/>
        </w:rPr>
        <w:t>,</w:t>
      </w:r>
      <w:r w:rsidRPr="00467BE8">
        <w:rPr>
          <w:rFonts w:cs="Arial"/>
        </w:rPr>
        <w:t xml:space="preserve"> such as the Immigration Museum, </w:t>
      </w:r>
      <w:r>
        <w:rPr>
          <w:rFonts w:cs="Arial"/>
        </w:rPr>
        <w:t>enhanced</w:t>
      </w:r>
      <w:r w:rsidRPr="00467BE8">
        <w:rPr>
          <w:rFonts w:cs="Arial"/>
        </w:rPr>
        <w:t xml:space="preserve"> security features and integration with </w:t>
      </w:r>
      <w:r>
        <w:rPr>
          <w:rFonts w:cs="Arial"/>
        </w:rPr>
        <w:t>Museum Victoria’s</w:t>
      </w:r>
      <w:r w:rsidRPr="00467BE8">
        <w:rPr>
          <w:rFonts w:cs="Arial"/>
        </w:rPr>
        <w:t xml:space="preserve"> network authentication system, improved deliver</w:t>
      </w:r>
      <w:r>
        <w:rPr>
          <w:rFonts w:cs="Arial"/>
        </w:rPr>
        <w:t>y of</w:t>
      </w:r>
      <w:r w:rsidRPr="00467BE8">
        <w:rPr>
          <w:rFonts w:cs="Arial"/>
        </w:rPr>
        <w:t xml:space="preserve"> bespoke wireless networks for events</w:t>
      </w:r>
      <w:r>
        <w:rPr>
          <w:rFonts w:cs="Arial"/>
        </w:rPr>
        <w:t>,</w:t>
      </w:r>
      <w:r w:rsidRPr="00467BE8">
        <w:rPr>
          <w:rFonts w:cs="Arial"/>
        </w:rPr>
        <w:t xml:space="preserve"> and a </w:t>
      </w:r>
      <w:r>
        <w:rPr>
          <w:rFonts w:cs="Arial"/>
        </w:rPr>
        <w:t>superior</w:t>
      </w:r>
      <w:r w:rsidRPr="00467BE8">
        <w:rPr>
          <w:rFonts w:cs="Arial"/>
        </w:rPr>
        <w:t xml:space="preserve"> management and troubleshooting platform.</w:t>
      </w:r>
    </w:p>
    <w:p w:rsidR="00B83890" w:rsidRPr="00604AB6" w:rsidRDefault="00B83890" w:rsidP="00B83890">
      <w:pPr>
        <w:pStyle w:val="Heading1"/>
      </w:pPr>
      <w:r w:rsidRPr="00162D08">
        <w:rPr>
          <w:sz w:val="22"/>
        </w:rPr>
        <w:br w:type="page"/>
      </w:r>
      <w:r w:rsidRPr="00604AB6">
        <w:lastRenderedPageBreak/>
        <w:t xml:space="preserve">Strategic Direction 5 </w:t>
      </w:r>
    </w:p>
    <w:p w:rsidR="00B83890" w:rsidRPr="00604AB6" w:rsidRDefault="00B83890" w:rsidP="00B83890">
      <w:pPr>
        <w:pStyle w:val="Heading1"/>
      </w:pPr>
      <w:r w:rsidRPr="00604AB6">
        <w:t>Visibility and Reputation</w:t>
      </w:r>
    </w:p>
    <w:p w:rsidR="00B83890" w:rsidRPr="00604AB6" w:rsidRDefault="00B83890" w:rsidP="00B83890"/>
    <w:p w:rsidR="00B83890" w:rsidRPr="00720F20" w:rsidRDefault="00B83890" w:rsidP="00B83890">
      <w:pPr>
        <w:pStyle w:val="Heading2"/>
      </w:pPr>
      <w:r w:rsidRPr="00720F20">
        <w:t xml:space="preserve">Positioning Museum Victoria </w:t>
      </w:r>
    </w:p>
    <w:p w:rsidR="00B83890" w:rsidRPr="00F54A18" w:rsidRDefault="00B83890" w:rsidP="00B83890">
      <w:r w:rsidRPr="00F54A18">
        <w:t>Museum Victoria received extensive media coverage for exhibitions and a wide range of research-related activities. Spanning local, national and international media, coverage generated over the year was valued at more than $</w:t>
      </w:r>
      <w:r>
        <w:t>47.2 million</w:t>
      </w:r>
      <w:r w:rsidRPr="00F54A18">
        <w:t xml:space="preserve">, or an average of </w:t>
      </w:r>
      <w:r>
        <w:t>20</w:t>
      </w:r>
      <w:r w:rsidRPr="00F54A18">
        <w:t xml:space="preserve"> mentions a day.</w:t>
      </w:r>
    </w:p>
    <w:p w:rsidR="00B83890" w:rsidRPr="00F54A18" w:rsidRDefault="00B83890" w:rsidP="00B83890">
      <w:pPr>
        <w:tabs>
          <w:tab w:val="left" w:pos="1575"/>
        </w:tabs>
      </w:pPr>
    </w:p>
    <w:p w:rsidR="00B83890" w:rsidRDefault="00B83890" w:rsidP="00B83890">
      <w:r w:rsidRPr="00F54A18">
        <w:t xml:space="preserve">Museum Victoria has continued to successfully engage with audiences through social media. Over the financial year, more than </w:t>
      </w:r>
      <w:r w:rsidRPr="00466CE6">
        <w:t>87,000</w:t>
      </w:r>
      <w:r w:rsidRPr="00F54A18">
        <w:t xml:space="preserve"> people were connected to Museum Victoria venues and activities through Facebook, and more than </w:t>
      </w:r>
      <w:r w:rsidRPr="00466CE6">
        <w:t>21,000</w:t>
      </w:r>
      <w:r w:rsidRPr="00F54A18">
        <w:t xml:space="preserve"> on Twitter.</w:t>
      </w:r>
      <w:r>
        <w:t xml:space="preserve"> </w:t>
      </w:r>
      <w:r w:rsidRPr="00F54A18">
        <w:t xml:space="preserve">This is a rise of </w:t>
      </w:r>
      <w:r w:rsidRPr="00466CE6">
        <w:t>89</w:t>
      </w:r>
      <w:r w:rsidRPr="00F54A18">
        <w:t xml:space="preserve">% and has had significant impact on </w:t>
      </w:r>
      <w:r>
        <w:t xml:space="preserve">support for </w:t>
      </w:r>
      <w:r w:rsidRPr="00F54A18">
        <w:t xml:space="preserve">events such as </w:t>
      </w:r>
      <w:r w:rsidRPr="00645257">
        <w:t>SmartBar</w:t>
      </w:r>
      <w:r w:rsidRPr="00F54A18">
        <w:t xml:space="preserve">, which is now in its second year. </w:t>
      </w:r>
    </w:p>
    <w:p w:rsidR="00B83890" w:rsidRDefault="00B83890" w:rsidP="00B83890"/>
    <w:p w:rsidR="00B83890" w:rsidRPr="00F54A18" w:rsidRDefault="00B83890" w:rsidP="00B83890">
      <w:r w:rsidRPr="00F54A18">
        <w:t>Museum Victoria continued to explore a broad range of media platforms for communication campaigns</w:t>
      </w:r>
      <w:r>
        <w:t>,</w:t>
      </w:r>
      <w:r w:rsidRPr="00F54A18">
        <w:t xml:space="preserve"> including tablet and mobile advertising, </w:t>
      </w:r>
      <w:r>
        <w:t xml:space="preserve">and </w:t>
      </w:r>
      <w:r w:rsidRPr="00F54A18">
        <w:t xml:space="preserve">video and social promotions, and </w:t>
      </w:r>
      <w:r>
        <w:t xml:space="preserve">we </w:t>
      </w:r>
      <w:r w:rsidRPr="00F54A18">
        <w:t>continued to build community interest</w:t>
      </w:r>
      <w:r>
        <w:t>, evidenced through</w:t>
      </w:r>
      <w:r w:rsidRPr="00F54A18">
        <w:t xml:space="preserve"> growth in our member </w:t>
      </w:r>
      <w:r>
        <w:t>and</w:t>
      </w:r>
      <w:r w:rsidRPr="00F54A18">
        <w:t xml:space="preserve"> e-news databases and </w:t>
      </w:r>
      <w:r>
        <w:t xml:space="preserve">our </w:t>
      </w:r>
      <w:r w:rsidRPr="00F54A18">
        <w:t xml:space="preserve">social platforms. One example is the </w:t>
      </w:r>
      <w:r w:rsidRPr="00F54A18">
        <w:rPr>
          <w:i/>
        </w:rPr>
        <w:t>Wallace &amp; Gromit</w:t>
      </w:r>
      <w:r w:rsidRPr="00F54A18">
        <w:t xml:space="preserve"> campaign, which generated 8000 new ‘likes’ on the Scienceworks page.</w:t>
      </w:r>
    </w:p>
    <w:p w:rsidR="00B83890" w:rsidRPr="00F54A18" w:rsidRDefault="00B83890" w:rsidP="00B83890"/>
    <w:p w:rsidR="00B83890" w:rsidRPr="00F54A18" w:rsidRDefault="00B83890" w:rsidP="00B83890">
      <w:r w:rsidRPr="00F54A18">
        <w:t xml:space="preserve">This expansion included the continued growth of digital tools </w:t>
      </w:r>
      <w:r>
        <w:t>for</w:t>
      </w:r>
      <w:r w:rsidRPr="00F54A18">
        <w:t xml:space="preserve"> communicating </w:t>
      </w:r>
      <w:r>
        <w:t>our</w:t>
      </w:r>
      <w:r w:rsidRPr="00F54A18">
        <w:t xml:space="preserve"> activities </w:t>
      </w:r>
      <w:r>
        <w:t>to</w:t>
      </w:r>
      <w:r w:rsidRPr="00F54A18">
        <w:t xml:space="preserve"> journalists and </w:t>
      </w:r>
      <w:r>
        <w:t xml:space="preserve">for </w:t>
      </w:r>
      <w:r w:rsidRPr="00F54A18">
        <w:t xml:space="preserve">tailoring experiences to the </w:t>
      </w:r>
      <w:r>
        <w:t>increasing</w:t>
      </w:r>
      <w:r w:rsidRPr="00F54A18">
        <w:t xml:space="preserve"> body of specialist online writers and bloggers.</w:t>
      </w:r>
    </w:p>
    <w:p w:rsidR="00B83890" w:rsidRDefault="00B83890" w:rsidP="00B83890"/>
    <w:p w:rsidR="00B83890" w:rsidRPr="00677DA4" w:rsidRDefault="00B83890" w:rsidP="00B83890">
      <w:r w:rsidRPr="00677DA4">
        <w:t>On 23 February 2013</w:t>
      </w:r>
      <w:r>
        <w:t>,</w:t>
      </w:r>
      <w:r w:rsidRPr="00677DA4">
        <w:t xml:space="preserve"> Melbourne Museum participated in the all-night cultural event White Night Melbourne. Melbourne Museum was open from 6</w:t>
      </w:r>
      <w:r>
        <w:t xml:space="preserve">.00 pm to </w:t>
      </w:r>
      <w:r w:rsidRPr="00677DA4">
        <w:t>10</w:t>
      </w:r>
      <w:r>
        <w:t>.00 </w:t>
      </w:r>
      <w:r w:rsidRPr="00677DA4">
        <w:t xml:space="preserve">pm and themed around </w:t>
      </w:r>
      <w:r>
        <w:t>‘</w:t>
      </w:r>
      <w:r w:rsidRPr="00677DA4">
        <w:t>A Night at the Museum</w:t>
      </w:r>
      <w:r>
        <w:t>’,</w:t>
      </w:r>
      <w:r w:rsidRPr="00677DA4">
        <w:t xml:space="preserve"> with torchlight tours, dinosaur puppets and activities. This was the first time the museum was open after</w:t>
      </w:r>
      <w:r>
        <w:t>-</w:t>
      </w:r>
      <w:r w:rsidRPr="00677DA4">
        <w:t>hours for families</w:t>
      </w:r>
      <w:r>
        <w:t>,</w:t>
      </w:r>
      <w:r w:rsidRPr="00677DA4">
        <w:t xml:space="preserve"> and its popularity exceeded expectations</w:t>
      </w:r>
      <w:r>
        <w:t>,</w:t>
      </w:r>
      <w:r w:rsidRPr="00677DA4">
        <w:t xml:space="preserve"> with </w:t>
      </w:r>
      <w:r>
        <w:t>more than</w:t>
      </w:r>
      <w:r w:rsidRPr="00677DA4">
        <w:t xml:space="preserve"> 4300 visitors.</w:t>
      </w:r>
    </w:p>
    <w:p w:rsidR="00B83890" w:rsidRDefault="00B83890" w:rsidP="00B83890"/>
    <w:p w:rsidR="00B83890" w:rsidRPr="00677DA4" w:rsidRDefault="00B83890" w:rsidP="00B83890">
      <w:r w:rsidRPr="00677DA4">
        <w:t xml:space="preserve">Scienceworks celebrated </w:t>
      </w:r>
      <w:r>
        <w:t>its 21</w:t>
      </w:r>
      <w:r w:rsidRPr="005068A9">
        <w:t>st</w:t>
      </w:r>
      <w:r>
        <w:t xml:space="preserve"> birthday in 2013. Since its opening in March 1992, Scienceworks</w:t>
      </w:r>
      <w:r w:rsidRPr="00677DA4">
        <w:t xml:space="preserve"> has charmed and enlightened almost eight million </w:t>
      </w:r>
      <w:r>
        <w:t>visitors</w:t>
      </w:r>
      <w:r w:rsidRPr="00677DA4">
        <w:t>.</w:t>
      </w:r>
    </w:p>
    <w:p w:rsidR="00B83890" w:rsidRPr="00BD1C3E" w:rsidRDefault="00B83890" w:rsidP="00B83890">
      <w:pPr>
        <w:rPr>
          <w:highlight w:val="yellow"/>
        </w:rPr>
      </w:pPr>
    </w:p>
    <w:p w:rsidR="00B83890" w:rsidRPr="00E20131" w:rsidRDefault="00B83890" w:rsidP="00B83890">
      <w:pPr>
        <w:pStyle w:val="Heading2"/>
      </w:pPr>
      <w:r w:rsidRPr="00E20131">
        <w:t xml:space="preserve">Enhancing Our Reputation </w:t>
      </w:r>
    </w:p>
    <w:p w:rsidR="00B83890" w:rsidRPr="00F54A18" w:rsidRDefault="00B83890" w:rsidP="00B83890">
      <w:r>
        <w:t xml:space="preserve">In March 2013, </w:t>
      </w:r>
      <w:r w:rsidRPr="00F54A18">
        <w:t>C</w:t>
      </w:r>
      <w:r>
        <w:t xml:space="preserve">hief </w:t>
      </w:r>
      <w:r w:rsidRPr="00F54A18">
        <w:t>E</w:t>
      </w:r>
      <w:r>
        <w:t xml:space="preserve">xecutive </w:t>
      </w:r>
      <w:r w:rsidRPr="00F54A18">
        <w:t>O</w:t>
      </w:r>
      <w:r>
        <w:t>fficer</w:t>
      </w:r>
      <w:r w:rsidRPr="00F54A18">
        <w:t xml:space="preserve"> Dr J. Patrick Greene visited the Shanghai Museum of Science and Technology</w:t>
      </w:r>
      <w:r>
        <w:t>,</w:t>
      </w:r>
      <w:r w:rsidRPr="00F54A18">
        <w:t xml:space="preserve"> in China</w:t>
      </w:r>
      <w:r>
        <w:t>,</w:t>
      </w:r>
      <w:r w:rsidRPr="00F54A18">
        <w:t xml:space="preserve"> to sign a memorandum of understanding enabling the two organisations to work together in areas such as exhibition development and sharing curatorial and technical skills and knowledge.</w:t>
      </w:r>
      <w:r>
        <w:t xml:space="preserve"> This is part of a strategy </w:t>
      </w:r>
      <w:r w:rsidRPr="00F54A18">
        <w:t xml:space="preserve">to </w:t>
      </w:r>
      <w:r>
        <w:t>grow</w:t>
      </w:r>
      <w:r w:rsidRPr="00F54A18">
        <w:t xml:space="preserve"> relationships between Museum Victoria and major Asian cultural and scientific institutions</w:t>
      </w:r>
      <w:r>
        <w:t>.</w:t>
      </w:r>
    </w:p>
    <w:p w:rsidR="00B83890" w:rsidRPr="00F54A18" w:rsidRDefault="00B83890" w:rsidP="00B83890"/>
    <w:p w:rsidR="00B83890" w:rsidRPr="00F54A18" w:rsidRDefault="00B83890" w:rsidP="00B83890">
      <w:r w:rsidRPr="00F54A18">
        <w:t xml:space="preserve">The MV Members </w:t>
      </w:r>
      <w:r>
        <w:t>p</w:t>
      </w:r>
      <w:r w:rsidRPr="00F54A18">
        <w:t>rogram had a record-breaking year, achieving the highest</w:t>
      </w:r>
      <w:r>
        <w:t>-</w:t>
      </w:r>
      <w:r w:rsidRPr="00F54A18">
        <w:t>ever revenue and membership results for more than seven consecutive months. At year</w:t>
      </w:r>
      <w:r>
        <w:t>’s</w:t>
      </w:r>
      <w:r w:rsidRPr="00F54A18">
        <w:t xml:space="preserve"> end</w:t>
      </w:r>
      <w:r>
        <w:t>,</w:t>
      </w:r>
      <w:r w:rsidRPr="00F54A18">
        <w:t xml:space="preserve"> </w:t>
      </w:r>
      <w:r>
        <w:t>we had</w:t>
      </w:r>
      <w:r w:rsidRPr="00F54A18">
        <w:t xml:space="preserve"> </w:t>
      </w:r>
      <w:r>
        <w:t>16,165</w:t>
      </w:r>
      <w:r w:rsidRPr="00AC5348">
        <w:t xml:space="preserve"> </w:t>
      </w:r>
      <w:r w:rsidRPr="00F54A18">
        <w:t xml:space="preserve">memberships, representing more than </w:t>
      </w:r>
      <w:r w:rsidRPr="001C4E14">
        <w:t>50,000</w:t>
      </w:r>
      <w:r w:rsidRPr="00AC5348">
        <w:t xml:space="preserve"> </w:t>
      </w:r>
      <w:r w:rsidRPr="00F54A18">
        <w:t xml:space="preserve">individuals. </w:t>
      </w:r>
    </w:p>
    <w:p w:rsidR="00B83890" w:rsidRDefault="00B83890" w:rsidP="00B83890"/>
    <w:p w:rsidR="00B83890" w:rsidRDefault="00B83890" w:rsidP="00B83890">
      <w:r>
        <w:t>A grant was received from the Federal Government’s Inspiring Australia Program to partner with museums around Australia to produce a new series of field guide apps for both Android and iOS devices. This builds on the success of Museum Victoria’s Field Guide to Victorian Fauna app.</w:t>
      </w:r>
    </w:p>
    <w:p w:rsidR="00B83890" w:rsidRPr="00F54A18" w:rsidRDefault="00B83890" w:rsidP="00B83890"/>
    <w:p w:rsidR="00B83890" w:rsidRPr="00F54A18" w:rsidRDefault="00B83890" w:rsidP="00B83890">
      <w:r w:rsidRPr="00F54A18">
        <w:lastRenderedPageBreak/>
        <w:t xml:space="preserve">In May 2013, Dr Robin Hirst, Director of Collections, Research and Exhibitions, was elected </w:t>
      </w:r>
      <w:r>
        <w:t>P</w:t>
      </w:r>
      <w:r w:rsidRPr="00F54A18">
        <w:t>resident of the International Council of Museums (ICOM)</w:t>
      </w:r>
      <w:r>
        <w:t>,</w:t>
      </w:r>
      <w:r w:rsidRPr="00F54A18">
        <w:t xml:space="preserve"> Australia</w:t>
      </w:r>
      <w:r>
        <w:t>. In this role h</w:t>
      </w:r>
      <w:r w:rsidRPr="00F54A18">
        <w:t>e will represent the interests of Australian museum</w:t>
      </w:r>
      <w:r>
        <w:t>s</w:t>
      </w:r>
      <w:r w:rsidRPr="00F54A18">
        <w:t xml:space="preserve"> in a global forum.</w:t>
      </w:r>
    </w:p>
    <w:p w:rsidR="00B83890" w:rsidRPr="00F54A18" w:rsidRDefault="00B83890" w:rsidP="00B83890"/>
    <w:p w:rsidR="00B83890" w:rsidRPr="00F54A18" w:rsidRDefault="00B83890" w:rsidP="00B83890">
      <w:pPr>
        <w:rPr>
          <w:lang w:val="en-US"/>
        </w:rPr>
      </w:pPr>
      <w:r w:rsidRPr="00F54A18">
        <w:rPr>
          <w:i/>
          <w:lang w:val="en-US"/>
        </w:rPr>
        <w:t>Tjukurrtjanu: Origins of Western Desert Art</w:t>
      </w:r>
      <w:r w:rsidRPr="00F54A18">
        <w:rPr>
          <w:lang w:val="en-US"/>
        </w:rPr>
        <w:t>, an exhibition developed by Museum Victoria</w:t>
      </w:r>
      <w:r>
        <w:rPr>
          <w:lang w:val="en-US"/>
        </w:rPr>
        <w:t>,</w:t>
      </w:r>
      <w:r w:rsidRPr="00F54A18">
        <w:rPr>
          <w:lang w:val="en-US"/>
        </w:rPr>
        <w:t xml:space="preserve"> the National Gallery of Victoria and Papunya Tula Artists, was </w:t>
      </w:r>
      <w:r>
        <w:rPr>
          <w:lang w:val="en-US"/>
        </w:rPr>
        <w:t>shown at</w:t>
      </w:r>
      <w:r w:rsidRPr="00F54A18">
        <w:rPr>
          <w:lang w:val="en-US"/>
        </w:rPr>
        <w:t xml:space="preserve"> the Musée d</w:t>
      </w:r>
      <w:r>
        <w:rPr>
          <w:lang w:val="en-US"/>
        </w:rPr>
        <w:t>u</w:t>
      </w:r>
      <w:r w:rsidRPr="00F54A18">
        <w:rPr>
          <w:lang w:val="en-US"/>
        </w:rPr>
        <w:t xml:space="preserve"> quai </w:t>
      </w:r>
      <w:r>
        <w:rPr>
          <w:lang w:val="en-US"/>
        </w:rPr>
        <w:t>B</w:t>
      </w:r>
      <w:r w:rsidRPr="00F54A18">
        <w:rPr>
          <w:lang w:val="en-US"/>
        </w:rPr>
        <w:t>ranly, Paris from October 2012 to January 2013.</w:t>
      </w:r>
      <w:r>
        <w:rPr>
          <w:lang w:val="en-US"/>
        </w:rPr>
        <w:t xml:space="preserve"> </w:t>
      </w:r>
      <w:r w:rsidRPr="00F54A18">
        <w:rPr>
          <w:lang w:val="en-US"/>
        </w:rPr>
        <w:t xml:space="preserve">The exhibition drew 135,000 visitors to the museum, making it one of the most popular exhibitions </w:t>
      </w:r>
      <w:r>
        <w:rPr>
          <w:lang w:val="en-US"/>
        </w:rPr>
        <w:t xml:space="preserve">it has </w:t>
      </w:r>
      <w:r w:rsidRPr="00F54A18">
        <w:rPr>
          <w:lang w:val="en-US"/>
        </w:rPr>
        <w:t>hosted.</w:t>
      </w:r>
    </w:p>
    <w:p w:rsidR="00B83890" w:rsidRDefault="00B83890" w:rsidP="00B83890"/>
    <w:p w:rsidR="00B83890" w:rsidRPr="00677DA4" w:rsidRDefault="00B83890" w:rsidP="00B83890">
      <w:r w:rsidRPr="00677DA4">
        <w:t xml:space="preserve">The </w:t>
      </w:r>
      <w:r>
        <w:t xml:space="preserve">2012 </w:t>
      </w:r>
      <w:r w:rsidRPr="00677DA4">
        <w:t xml:space="preserve">annual conference for </w:t>
      </w:r>
      <w:r>
        <w:t xml:space="preserve">the </w:t>
      </w:r>
      <w:r w:rsidRPr="00677DA4">
        <w:t xml:space="preserve">Australasian Science and Technology Exhibitors Network (ASTEN) was held at Scienceworks and Melbourne Museum. </w:t>
      </w:r>
      <w:r>
        <w:t>It</w:t>
      </w:r>
      <w:r w:rsidRPr="00677DA4">
        <w:t xml:space="preserve"> was attended by 16 science museums and centres from across Australia. Museum Victoria staff coordinated the event and many also presented lectures.</w:t>
      </w:r>
    </w:p>
    <w:p w:rsidR="00B83890" w:rsidRPr="007C1FC2" w:rsidRDefault="00B83890" w:rsidP="00B83890"/>
    <w:p w:rsidR="00B83890" w:rsidRDefault="00B83890" w:rsidP="00B83890">
      <w:pPr>
        <w:pStyle w:val="Heading2"/>
      </w:pPr>
      <w:r w:rsidRPr="007C1FC2">
        <w:t>Maximising Our Tourism Potential</w:t>
      </w:r>
      <w:r w:rsidRPr="002D258C">
        <w:t xml:space="preserve"> </w:t>
      </w:r>
    </w:p>
    <w:p w:rsidR="00B83890" w:rsidRPr="00F54A18" w:rsidRDefault="00B83890" w:rsidP="00B83890">
      <w:r w:rsidRPr="00F54A18">
        <w:t xml:space="preserve">The important role Melbourne Museum plays in </w:t>
      </w:r>
      <w:r>
        <w:t>attracting</w:t>
      </w:r>
      <w:r w:rsidRPr="00F54A18">
        <w:t xml:space="preserve"> tourist</w:t>
      </w:r>
      <w:r>
        <w:t>s</w:t>
      </w:r>
      <w:r w:rsidRPr="00F54A18">
        <w:t xml:space="preserve"> to the </w:t>
      </w:r>
      <w:r>
        <w:t>s</w:t>
      </w:r>
      <w:r w:rsidRPr="00F54A18">
        <w:t xml:space="preserve">tate was recognised at the RACV 2012 Victorian Tourism Awards, where it was awarded Major </w:t>
      </w:r>
      <w:r>
        <w:t xml:space="preserve">Tourist </w:t>
      </w:r>
      <w:r w:rsidRPr="00F54A18">
        <w:t xml:space="preserve">Attraction. This is the third consecutive year </w:t>
      </w:r>
      <w:r>
        <w:t>it</w:t>
      </w:r>
      <w:r w:rsidRPr="00F54A18">
        <w:t xml:space="preserve"> has received th</w:t>
      </w:r>
      <w:r>
        <w:t>e</w:t>
      </w:r>
      <w:r w:rsidRPr="00F54A18">
        <w:t xml:space="preserve"> accolade, </w:t>
      </w:r>
      <w:r>
        <w:t>so it</w:t>
      </w:r>
      <w:r w:rsidRPr="00F54A18">
        <w:t xml:space="preserve"> </w:t>
      </w:r>
      <w:r>
        <w:t xml:space="preserve">now </w:t>
      </w:r>
      <w:r w:rsidRPr="00F54A18">
        <w:t>joins the Immigration Museum and Bunjilaka Aboriginal Cultural Centre in the Tourism Victoria Hall of Fame.</w:t>
      </w:r>
    </w:p>
    <w:p w:rsidR="00B83890" w:rsidRPr="00F54A18" w:rsidRDefault="00B83890" w:rsidP="00B83890"/>
    <w:p w:rsidR="00B83890" w:rsidRPr="00F54A18" w:rsidRDefault="00B83890" w:rsidP="00B83890">
      <w:r w:rsidRPr="00F54A18">
        <w:t>Efforts to maintain important relationships within the tourism sector drew results</w:t>
      </w:r>
      <w:r>
        <w:t>,</w:t>
      </w:r>
      <w:r w:rsidRPr="00F54A18">
        <w:t xml:space="preserve"> with more than 2500 cruise</w:t>
      </w:r>
      <w:r>
        <w:t>-</w:t>
      </w:r>
      <w:r w:rsidRPr="00F54A18">
        <w:t>ship visitors to Melbourne Museum during the year. This included an entire ship of 1819 passengers</w:t>
      </w:r>
      <w:r>
        <w:t>,</w:t>
      </w:r>
      <w:r w:rsidRPr="00F54A18">
        <w:t xml:space="preserve"> who visited in March 2013.</w:t>
      </w:r>
    </w:p>
    <w:p w:rsidR="00B83890" w:rsidRDefault="00B83890" w:rsidP="00B83890">
      <w:pPr>
        <w:pStyle w:val="Heading2"/>
      </w:pPr>
    </w:p>
    <w:p w:rsidR="00B83890" w:rsidRDefault="00B83890" w:rsidP="00B83890">
      <w:pPr>
        <w:pStyle w:val="Heading2"/>
      </w:pPr>
    </w:p>
    <w:p w:rsidR="00B83890" w:rsidRPr="00162D08" w:rsidRDefault="00B83890" w:rsidP="00B83890">
      <w:pPr>
        <w:pStyle w:val="Heading1"/>
      </w:pPr>
      <w:r w:rsidRPr="00162D08">
        <w:br w:type="page"/>
      </w:r>
      <w:r w:rsidRPr="00162D08">
        <w:lastRenderedPageBreak/>
        <w:t xml:space="preserve">Strategic Direction 6 </w:t>
      </w:r>
    </w:p>
    <w:p w:rsidR="00B83890" w:rsidRPr="00162D08" w:rsidRDefault="00B83890" w:rsidP="00B83890">
      <w:pPr>
        <w:pStyle w:val="Heading1"/>
      </w:pPr>
      <w:r w:rsidRPr="00162D08">
        <w:t>Environmental Responsibility</w:t>
      </w:r>
    </w:p>
    <w:p w:rsidR="00B83890" w:rsidRPr="00823151" w:rsidRDefault="00B83890" w:rsidP="00B83890"/>
    <w:p w:rsidR="00B83890" w:rsidRDefault="00B83890" w:rsidP="00B83890">
      <w:pPr>
        <w:pStyle w:val="Heading2"/>
      </w:pPr>
      <w:r w:rsidRPr="002D258C">
        <w:t>Promot</w:t>
      </w:r>
      <w:r>
        <w:t xml:space="preserve">ing Our Knowledge </w:t>
      </w:r>
    </w:p>
    <w:p w:rsidR="00B83890" w:rsidRPr="00BA7AB2" w:rsidRDefault="00B83890" w:rsidP="00B83890">
      <w:r w:rsidRPr="00BA7AB2">
        <w:t>Museum Victoria undertook an intensive biodiversity census at the Grampians National Park in November 2012.</w:t>
      </w:r>
      <w:r>
        <w:t xml:space="preserve"> </w:t>
      </w:r>
      <w:r w:rsidRPr="00BA7AB2">
        <w:t>Th</w:t>
      </w:r>
      <w:r>
        <w:t>irty</w:t>
      </w:r>
      <w:r w:rsidRPr="00BA7AB2">
        <w:t xml:space="preserve"> Museum Victoria staff collect</w:t>
      </w:r>
      <w:r>
        <w:t>ed</w:t>
      </w:r>
      <w:r w:rsidRPr="00BA7AB2">
        <w:t>, photograph</w:t>
      </w:r>
      <w:r>
        <w:t>ed</w:t>
      </w:r>
      <w:r w:rsidRPr="00BA7AB2">
        <w:t>, count</w:t>
      </w:r>
      <w:r>
        <w:t>ed</w:t>
      </w:r>
      <w:r w:rsidRPr="00BA7AB2">
        <w:t xml:space="preserve"> and gather</w:t>
      </w:r>
      <w:r>
        <w:t>ed</w:t>
      </w:r>
      <w:r w:rsidRPr="00BA7AB2">
        <w:t xml:space="preserve"> information on hundreds of species over </w:t>
      </w:r>
      <w:r>
        <w:t>ten</w:t>
      </w:r>
      <w:r w:rsidRPr="00BA7AB2">
        <w:t xml:space="preserve"> days.</w:t>
      </w:r>
      <w:r>
        <w:t xml:space="preserve"> </w:t>
      </w:r>
      <w:r w:rsidRPr="00BA7AB2">
        <w:t xml:space="preserve">The work is part of the Bioscan </w:t>
      </w:r>
      <w:r>
        <w:t>s</w:t>
      </w:r>
      <w:r w:rsidRPr="00BA7AB2">
        <w:t xml:space="preserve">urvey </w:t>
      </w:r>
      <w:r>
        <w:t>p</w:t>
      </w:r>
      <w:r w:rsidRPr="00BA7AB2">
        <w:t xml:space="preserve">rogram funded by Parks Victoria, </w:t>
      </w:r>
      <w:r>
        <w:t xml:space="preserve">which aims </w:t>
      </w:r>
      <w:r w:rsidRPr="00BA7AB2">
        <w:t>to provide an intensive snapshot of natural values at priority locations within Victoria’s parks and reserves system.</w:t>
      </w:r>
    </w:p>
    <w:p w:rsidR="00B83890" w:rsidRPr="00BA7AB2" w:rsidRDefault="00B83890" w:rsidP="00B83890"/>
    <w:p w:rsidR="00B83890" w:rsidRPr="00BA7AB2" w:rsidRDefault="00B83890" w:rsidP="00B83890">
      <w:r w:rsidRPr="00BA7AB2">
        <w:t>Museum Victoria has awarded a new Biodiversity Research Fellowship, funded by the Ian Potter Foundation and the Hugh D.T. Williamson Foundation.</w:t>
      </w:r>
      <w:r>
        <w:t xml:space="preserve"> </w:t>
      </w:r>
      <w:r w:rsidRPr="00BA7AB2">
        <w:t xml:space="preserve">The three-year postdoctoral fellowship, aimed at early career researchers studying the biology of Victorian or Australian birds, will </w:t>
      </w:r>
      <w:r>
        <w:t>support</w:t>
      </w:r>
      <w:r w:rsidRPr="00BA7AB2">
        <w:t xml:space="preserve"> a project us</w:t>
      </w:r>
      <w:r>
        <w:t>ing</w:t>
      </w:r>
      <w:r w:rsidRPr="00BA7AB2">
        <w:t xml:space="preserve"> museum collections to evaluate 150 years of avian biodiversity dynamics in Victoria.</w:t>
      </w:r>
    </w:p>
    <w:p w:rsidR="00B83890" w:rsidRPr="002D258C" w:rsidRDefault="00B83890" w:rsidP="00B83890"/>
    <w:p w:rsidR="00B83890" w:rsidRDefault="00B83890" w:rsidP="00B83890">
      <w:pPr>
        <w:pStyle w:val="Heading2"/>
      </w:pPr>
      <w:r>
        <w:t>I</w:t>
      </w:r>
      <w:r w:rsidRPr="002D258C">
        <w:t xml:space="preserve">ncreasing </w:t>
      </w:r>
      <w:r>
        <w:t>A</w:t>
      </w:r>
      <w:r w:rsidRPr="002D258C">
        <w:t xml:space="preserve">wareness </w:t>
      </w:r>
      <w:r>
        <w:t>of S</w:t>
      </w:r>
      <w:r w:rsidRPr="002D258C">
        <w:t xml:space="preserve">ustainability </w:t>
      </w:r>
    </w:p>
    <w:p w:rsidR="00B83890" w:rsidRDefault="00B83890" w:rsidP="00B83890">
      <w:pPr>
        <w:rPr>
          <w:color w:val="1F497D"/>
        </w:rPr>
      </w:pPr>
      <w:r w:rsidRPr="003D4FB0">
        <w:t xml:space="preserve">As an active participant in the Victorian </w:t>
      </w:r>
      <w:r>
        <w:t>e</w:t>
      </w:r>
      <w:r w:rsidRPr="003D4FB0">
        <w:t xml:space="preserve">lectric </w:t>
      </w:r>
      <w:r>
        <w:t>v</w:t>
      </w:r>
      <w:r w:rsidRPr="003D4FB0">
        <w:t xml:space="preserve">ehicle </w:t>
      </w:r>
      <w:r>
        <w:t>t</w:t>
      </w:r>
      <w:r w:rsidRPr="003D4FB0">
        <w:t>rial, Melbourne Museum has been given the use of a Mitsubishi i-MiEV electric vehicle by the Department of Transport for a 12</w:t>
      </w:r>
      <w:r>
        <w:t>-</w:t>
      </w:r>
      <w:r w:rsidRPr="003D4FB0">
        <w:t xml:space="preserve">month period. The use of the </w:t>
      </w:r>
      <w:r>
        <w:t>electric vehicle</w:t>
      </w:r>
      <w:r w:rsidRPr="003D4FB0">
        <w:t xml:space="preserve"> will enable Melbourne Museum to obtain investment</w:t>
      </w:r>
      <w:r>
        <w:t>-</w:t>
      </w:r>
      <w:r w:rsidRPr="003D4FB0">
        <w:t>grade information to inform future business planning on how Museum Victoria may participate in th</w:t>
      </w:r>
      <w:r>
        <w:t>is</w:t>
      </w:r>
      <w:r w:rsidRPr="003D4FB0">
        <w:t xml:space="preserve"> emerging market.</w:t>
      </w:r>
      <w:r>
        <w:rPr>
          <w:color w:val="1F497D"/>
        </w:rPr>
        <w:t xml:space="preserve"> </w:t>
      </w:r>
    </w:p>
    <w:p w:rsidR="00B83890" w:rsidRDefault="00B83890" w:rsidP="00B83890"/>
    <w:p w:rsidR="00B83890" w:rsidRPr="00BA7AB2" w:rsidRDefault="00B83890" w:rsidP="00B83890">
      <w:r w:rsidRPr="00BA7AB2">
        <w:t>Museum Victoria has developed the Bunurong Marine National Park Field Guide app for smart phones, using funding from Parks Victoria.</w:t>
      </w:r>
      <w:r>
        <w:t xml:space="preserve"> </w:t>
      </w:r>
      <w:r w:rsidRPr="00BA7AB2">
        <w:t xml:space="preserve">The app presents information and images </w:t>
      </w:r>
      <w:r>
        <w:t>about</w:t>
      </w:r>
      <w:r w:rsidRPr="00BA7AB2">
        <w:t xml:space="preserve"> more than 300 species of marine animals and plants commonly seen in the </w:t>
      </w:r>
      <w:r>
        <w:t>p</w:t>
      </w:r>
      <w:r w:rsidRPr="00BA7AB2">
        <w:t>ark</w:t>
      </w:r>
      <w:r>
        <w:t>,</w:t>
      </w:r>
      <w:r w:rsidRPr="00BA7AB2">
        <w:t xml:space="preserve"> and has been produced in Apple and Android formats.</w:t>
      </w:r>
      <w:r>
        <w:t xml:space="preserve"> </w:t>
      </w:r>
      <w:r w:rsidRPr="00BA7AB2">
        <w:t xml:space="preserve">The field guide builds on information gathered during the Bunurong Marine National Park </w:t>
      </w:r>
      <w:r>
        <w:t>m</w:t>
      </w:r>
      <w:r w:rsidRPr="00BA7AB2">
        <w:t>ini</w:t>
      </w:r>
      <w:r>
        <w:t>-</w:t>
      </w:r>
      <w:r w:rsidRPr="00BA7AB2">
        <w:t>scan survey conducted in March 2012.</w:t>
      </w:r>
    </w:p>
    <w:p w:rsidR="00B83890" w:rsidRPr="00BA7AB2" w:rsidRDefault="00B83890" w:rsidP="00B83890"/>
    <w:p w:rsidR="00B83890" w:rsidRPr="00BA7AB2" w:rsidRDefault="00B83890" w:rsidP="00B83890">
      <w:r w:rsidRPr="00BA7AB2">
        <w:t>Museum Victoria completed a supplementary section on marine flora for the Taxonomic Toolkit for Marine Life of Port Phillip Bay, with funding from the Department of Sustainability and Environment.</w:t>
      </w:r>
      <w:r>
        <w:t xml:space="preserve"> </w:t>
      </w:r>
      <w:r w:rsidRPr="00BA7AB2">
        <w:t xml:space="preserve">The </w:t>
      </w:r>
      <w:r>
        <w:t>t</w:t>
      </w:r>
      <w:r w:rsidRPr="00BA7AB2">
        <w:t xml:space="preserve">oolkit update will provide marine scientists, researchers and environmental managers with information on </w:t>
      </w:r>
      <w:r>
        <w:t>more than</w:t>
      </w:r>
      <w:r w:rsidRPr="00BA7AB2">
        <w:t xml:space="preserve"> 1000 marine fauna and flora species</w:t>
      </w:r>
      <w:r>
        <w:t>,</w:t>
      </w:r>
      <w:r w:rsidRPr="00BA7AB2">
        <w:t xml:space="preserve"> and will enhance the success of the original version launched in March 2012.</w:t>
      </w:r>
    </w:p>
    <w:p w:rsidR="00B83890" w:rsidRPr="00BA7AB2" w:rsidRDefault="00B83890" w:rsidP="00B83890"/>
    <w:p w:rsidR="00B83890" w:rsidRPr="00BA7AB2" w:rsidRDefault="00B83890" w:rsidP="00B83890">
      <w:r w:rsidRPr="00BA7AB2">
        <w:t>A Museum Victoria team has provided data on unusual occurrences of marine species in Australian seas for the Range Extension Database and Mapping Project (also known as Redmap Australia), a citizen-science project coordinated through the Institute for Marine and Antarctic Studies at the University of Tasmania.</w:t>
      </w:r>
      <w:r>
        <w:t xml:space="preserve"> </w:t>
      </w:r>
      <w:r w:rsidRPr="00BA7AB2">
        <w:t xml:space="preserve">The online and interactive project helps track potential changes in the distribution of marine species due to climate change, and the local team is already monitoring </w:t>
      </w:r>
      <w:r>
        <w:t>approximately</w:t>
      </w:r>
      <w:r w:rsidRPr="00BA7AB2">
        <w:t xml:space="preserve"> 35 species in Victoria.</w:t>
      </w:r>
    </w:p>
    <w:p w:rsidR="00B83890" w:rsidRDefault="00B83890" w:rsidP="00B83890"/>
    <w:p w:rsidR="00B83890" w:rsidRDefault="00B83890" w:rsidP="00B83890">
      <w:pPr>
        <w:pStyle w:val="Heading2"/>
      </w:pPr>
      <w:r>
        <w:t>I</w:t>
      </w:r>
      <w:r w:rsidRPr="002D258C">
        <w:t>mplement</w:t>
      </w:r>
      <w:r>
        <w:t>ing</w:t>
      </w:r>
      <w:r w:rsidRPr="002D258C">
        <w:t xml:space="preserve"> </w:t>
      </w:r>
      <w:r>
        <w:t>Eco-sustainable P</w:t>
      </w:r>
      <w:r w:rsidRPr="002D258C">
        <w:t xml:space="preserve">ractices </w:t>
      </w:r>
    </w:p>
    <w:p w:rsidR="00B83890" w:rsidRPr="00BA7AB2" w:rsidRDefault="00B83890" w:rsidP="00B83890">
      <w:r w:rsidRPr="00BA7AB2">
        <w:t xml:space="preserve">Museum Victoria continued a review of environmental conditions in </w:t>
      </w:r>
      <w:r>
        <w:t xml:space="preserve">its </w:t>
      </w:r>
      <w:r w:rsidRPr="00BA7AB2">
        <w:t>collection stores.</w:t>
      </w:r>
      <w:r>
        <w:t xml:space="preserve"> </w:t>
      </w:r>
      <w:r w:rsidRPr="00BA7AB2">
        <w:t>The acceptable parameters for temperature and humidity for most generalist collections have been widened.</w:t>
      </w:r>
      <w:r>
        <w:t xml:space="preserve"> </w:t>
      </w:r>
      <w:r w:rsidRPr="00BA7AB2">
        <w:t>The pilot project for testing separate collection stores to better understand how environmental conditions respond to reduced use of HVAC energy has been expanded.</w:t>
      </w:r>
      <w:r>
        <w:t xml:space="preserve"> </w:t>
      </w:r>
      <w:r w:rsidRPr="00BA7AB2">
        <w:t>An environmental monitoring program across all Melbourne Museum collection stores and galleries has been established.</w:t>
      </w:r>
    </w:p>
    <w:p w:rsidR="00B83890" w:rsidRPr="0011109A" w:rsidRDefault="00B83890" w:rsidP="00B83890"/>
    <w:p w:rsidR="00B83890" w:rsidRDefault="00B83890" w:rsidP="00B83890">
      <w:pPr>
        <w:pStyle w:val="Heading2"/>
      </w:pPr>
      <w:r>
        <w:lastRenderedPageBreak/>
        <w:t>Reducing</w:t>
      </w:r>
      <w:r w:rsidRPr="002D258C">
        <w:t xml:space="preserve"> </w:t>
      </w:r>
      <w:r>
        <w:t>O</w:t>
      </w:r>
      <w:r w:rsidRPr="002D258C">
        <w:t xml:space="preserve">ur </w:t>
      </w:r>
      <w:r>
        <w:t>I</w:t>
      </w:r>
      <w:r w:rsidRPr="002D258C">
        <w:t xml:space="preserve">mpact </w:t>
      </w:r>
    </w:p>
    <w:p w:rsidR="00B83890" w:rsidRDefault="00B83890" w:rsidP="00B83890">
      <w:r w:rsidRPr="002806DF">
        <w:t>Museum Victoria, with the assistance of Arts Victoria and the Department of Treasury and Finance</w:t>
      </w:r>
      <w:r>
        <w:t xml:space="preserve">, has undertaken preliminary work for an </w:t>
      </w:r>
      <w:r w:rsidRPr="002806DF">
        <w:t>Energy Performance Contract</w:t>
      </w:r>
      <w:r>
        <w:t>. T</w:t>
      </w:r>
      <w:r w:rsidRPr="002806DF">
        <w:t xml:space="preserve">he goal </w:t>
      </w:r>
      <w:r>
        <w:t xml:space="preserve">is </w:t>
      </w:r>
      <w:r w:rsidRPr="002806DF">
        <w:t xml:space="preserve">to significantly reduce the greenhouse gas emissions, energy costs and water use at all Museum Victoria sites. </w:t>
      </w:r>
    </w:p>
    <w:p w:rsidR="00B83890" w:rsidRPr="00BD210B" w:rsidRDefault="00B83890" w:rsidP="00B83890"/>
    <w:p w:rsidR="00B83890" w:rsidRDefault="00B83890" w:rsidP="00B83890">
      <w:r w:rsidRPr="002806DF">
        <w:t xml:space="preserve">Stage </w:t>
      </w:r>
      <w:r>
        <w:t>two</w:t>
      </w:r>
      <w:r w:rsidRPr="002806DF">
        <w:t xml:space="preserve"> of the project</w:t>
      </w:r>
      <w:r>
        <w:t xml:space="preserve"> has just commenced</w:t>
      </w:r>
      <w:r w:rsidRPr="002806DF">
        <w:t xml:space="preserve"> </w:t>
      </w:r>
      <w:r>
        <w:t>and includes a</w:t>
      </w:r>
      <w:r w:rsidRPr="002806DF">
        <w:t xml:space="preserve"> </w:t>
      </w:r>
      <w:r>
        <w:t>d</w:t>
      </w:r>
      <w:r w:rsidRPr="002806DF">
        <w:t xml:space="preserve">etailed </w:t>
      </w:r>
      <w:r>
        <w:t>f</w:t>
      </w:r>
      <w:r w:rsidRPr="002806DF">
        <w:t xml:space="preserve">acility </w:t>
      </w:r>
      <w:r>
        <w:t>s</w:t>
      </w:r>
      <w:r w:rsidRPr="002806DF">
        <w:t xml:space="preserve">tudy. The </w:t>
      </w:r>
      <w:r>
        <w:t>s</w:t>
      </w:r>
      <w:r w:rsidRPr="002806DF">
        <w:t xml:space="preserve">tudy involves the </w:t>
      </w:r>
      <w:r>
        <w:t>e</w:t>
      </w:r>
      <w:r w:rsidRPr="002806DF">
        <w:t>nergy</w:t>
      </w:r>
      <w:r>
        <w:t>-s</w:t>
      </w:r>
      <w:r w:rsidRPr="002806DF">
        <w:t xml:space="preserve">ervices </w:t>
      </w:r>
      <w:r>
        <w:t>c</w:t>
      </w:r>
      <w:r w:rsidRPr="002806DF">
        <w:t>ompany that Museum Victoria has partnered with deliver</w:t>
      </w:r>
      <w:r>
        <w:t>ing an a</w:t>
      </w:r>
      <w:r w:rsidRPr="002806DF">
        <w:t>udit of Museum Victoria’s energy and gas usage across all sites. This will form the basis of the Energy Performance Contract specification.</w:t>
      </w:r>
    </w:p>
    <w:p w:rsidR="00B83890" w:rsidRDefault="00B83890" w:rsidP="00B83890"/>
    <w:p w:rsidR="00B83890" w:rsidRPr="00677DA4" w:rsidRDefault="00B83890" w:rsidP="00B83890">
      <w:r>
        <w:t>In</w:t>
      </w:r>
      <w:r w:rsidRPr="00677DA4">
        <w:t xml:space="preserve"> March 2013</w:t>
      </w:r>
      <w:r>
        <w:t>,</w:t>
      </w:r>
      <w:r w:rsidRPr="00677DA4">
        <w:t xml:space="preserve"> Melbourne Museum hosted the </w:t>
      </w:r>
      <w:r w:rsidRPr="00AC5348">
        <w:t>Environmental Tool Box</w:t>
      </w:r>
      <w:r w:rsidRPr="00677DA4">
        <w:t xml:space="preserve"> conference, in partnership with Greening Australia. Melbourne Museum staff showcased our education resources to schools. For the first time</w:t>
      </w:r>
      <w:r>
        <w:t>,</w:t>
      </w:r>
      <w:r w:rsidRPr="00677DA4">
        <w:t xml:space="preserve"> teachers received learning experiences via back</w:t>
      </w:r>
      <w:r>
        <w:t>-</w:t>
      </w:r>
      <w:r w:rsidRPr="00677DA4">
        <w:t>of</w:t>
      </w:r>
      <w:r>
        <w:t>-</w:t>
      </w:r>
      <w:r w:rsidRPr="00677DA4">
        <w:t>house tours into the science collections, showing how our websites are underpinned by our research and collections.</w:t>
      </w:r>
    </w:p>
    <w:p w:rsidR="00B83890" w:rsidRPr="00677DA4" w:rsidRDefault="00B83890" w:rsidP="00B83890"/>
    <w:p w:rsidR="00B83890" w:rsidRPr="00677DA4" w:rsidRDefault="00B83890" w:rsidP="00B83890">
      <w:r w:rsidRPr="00677DA4">
        <w:t>In 2012</w:t>
      </w:r>
      <w:r>
        <w:t>,</w:t>
      </w:r>
      <w:r w:rsidRPr="00677DA4">
        <w:t xml:space="preserve"> the Victorian Government </w:t>
      </w:r>
      <w:r>
        <w:t>launched</w:t>
      </w:r>
      <w:r w:rsidRPr="00677DA4">
        <w:t xml:space="preserve"> a four</w:t>
      </w:r>
      <w:r>
        <w:t>-</w:t>
      </w:r>
      <w:r w:rsidRPr="00677DA4">
        <w:t>year initiative to build on the existing ResourceSmart Australia</w:t>
      </w:r>
      <w:r>
        <w:t>n</w:t>
      </w:r>
      <w:r w:rsidRPr="00677DA4">
        <w:t xml:space="preserve"> Sustainable Schools Initiative Victoria framework. Museum Victoria</w:t>
      </w:r>
      <w:r>
        <w:t>—</w:t>
      </w:r>
      <w:r w:rsidRPr="00677DA4">
        <w:t>along with the Victorian Association of Environmental Educators and the Centre for Education and Research in Environmental Strategies (CERES)</w:t>
      </w:r>
      <w:r>
        <w:t>—</w:t>
      </w:r>
      <w:r w:rsidRPr="00677DA4">
        <w:t>is part of a consortium focused on engaging four metropolitan education regions in environmental</w:t>
      </w:r>
      <w:r>
        <w:t xml:space="preserve"> programming</w:t>
      </w:r>
      <w:r w:rsidRPr="00677DA4">
        <w:t>.</w:t>
      </w:r>
      <w:r>
        <w:t xml:space="preserve"> </w:t>
      </w:r>
      <w:r w:rsidRPr="00677DA4">
        <w:t>As part of this project</w:t>
      </w:r>
      <w:r>
        <w:t>,</w:t>
      </w:r>
      <w:r w:rsidRPr="00677DA4">
        <w:t xml:space="preserve"> Museum Victoria has participated in sustainability fairs </w:t>
      </w:r>
      <w:r>
        <w:t>at which</w:t>
      </w:r>
      <w:r w:rsidRPr="00677DA4">
        <w:t xml:space="preserve"> </w:t>
      </w:r>
      <w:r>
        <w:t xml:space="preserve">digital resources </w:t>
      </w:r>
      <w:r w:rsidRPr="00677DA4">
        <w:t xml:space="preserve">have </w:t>
      </w:r>
      <w:r>
        <w:t xml:space="preserve">been </w:t>
      </w:r>
      <w:r w:rsidRPr="00677DA4">
        <w:t xml:space="preserve">showcased to 600 students and teachers to support their learning and </w:t>
      </w:r>
      <w:r>
        <w:t xml:space="preserve">to </w:t>
      </w:r>
      <w:r w:rsidRPr="00677DA4">
        <w:t xml:space="preserve">assist them </w:t>
      </w:r>
      <w:r>
        <w:t>in</w:t>
      </w:r>
      <w:r w:rsidRPr="00677DA4">
        <w:t xml:space="preserve"> undertak</w:t>
      </w:r>
      <w:r>
        <w:t>ing</w:t>
      </w:r>
      <w:r w:rsidRPr="00677DA4">
        <w:t xml:space="preserve"> biodiversity audits of their schools and local environment.</w:t>
      </w:r>
    </w:p>
    <w:p w:rsidR="00B83890" w:rsidRDefault="00B83890" w:rsidP="00B83890">
      <w:pPr>
        <w:rPr>
          <w:szCs w:val="24"/>
        </w:rPr>
      </w:pPr>
      <w:r>
        <w:br w:type="page"/>
      </w:r>
    </w:p>
    <w:p w:rsidR="00B83890" w:rsidRDefault="00B83890" w:rsidP="00B83890">
      <w:pPr>
        <w:pStyle w:val="Heading1"/>
      </w:pPr>
      <w:r w:rsidRPr="00162D08">
        <w:lastRenderedPageBreak/>
        <w:t>Strategic Enabler</w:t>
      </w:r>
      <w:r>
        <w:t>s</w:t>
      </w:r>
    </w:p>
    <w:p w:rsidR="00B83890" w:rsidRPr="00CB40F2" w:rsidRDefault="00B83890" w:rsidP="00B83890">
      <w:pPr>
        <w:pStyle w:val="Heading2"/>
        <w:rPr>
          <w:sz w:val="22"/>
          <w:szCs w:val="22"/>
        </w:rPr>
      </w:pPr>
    </w:p>
    <w:p w:rsidR="00B83890" w:rsidRDefault="00B83890" w:rsidP="00B83890">
      <w:pPr>
        <w:pStyle w:val="Heading2"/>
      </w:pPr>
      <w:r w:rsidRPr="00162D08">
        <w:t>Maximising Resources</w:t>
      </w:r>
    </w:p>
    <w:p w:rsidR="00B83890" w:rsidRPr="00D66C8C" w:rsidRDefault="00B83890" w:rsidP="00B83890">
      <w:r w:rsidRPr="00D66C8C">
        <w:t>Museum Victoria maintained a positive operating cash flow in 2012–13 and continued success in obtaining specific</w:t>
      </w:r>
      <w:r>
        <w:t>-</w:t>
      </w:r>
      <w:r w:rsidRPr="00D66C8C">
        <w:t>purpose funding from external sources.</w:t>
      </w:r>
      <w:r>
        <w:t xml:space="preserve"> P</w:t>
      </w:r>
      <w:r w:rsidRPr="00D66C8C">
        <w:t>rudent management of cash investments has continued to provide returns that support critical activities budgeted across Museum Victoria.</w:t>
      </w:r>
      <w:r>
        <w:t xml:space="preserve"> </w:t>
      </w:r>
    </w:p>
    <w:p w:rsidR="00B83890" w:rsidRPr="00D66C8C" w:rsidRDefault="00B83890" w:rsidP="00B83890"/>
    <w:p w:rsidR="00B83890" w:rsidRDefault="00B83890" w:rsidP="00B83890">
      <w:r w:rsidRPr="00D66C8C">
        <w:t>Museum Victoria was successful in attracting more than $</w:t>
      </w:r>
      <w:r w:rsidRPr="00EA48F1">
        <w:t>9</w:t>
      </w:r>
      <w:r>
        <w:t> </w:t>
      </w:r>
      <w:r w:rsidRPr="00D66C8C">
        <w:t>millio</w:t>
      </w:r>
      <w:r>
        <w:t xml:space="preserve">n of specific-purpose funding. </w:t>
      </w:r>
      <w:r w:rsidRPr="00D66C8C">
        <w:t xml:space="preserve">This included </w:t>
      </w:r>
      <w:r>
        <w:t>$3 million for exhibition renewal for permanent galleries across the Museum Victoria venues.</w:t>
      </w:r>
    </w:p>
    <w:p w:rsidR="00B83890" w:rsidRPr="003D4FB0" w:rsidRDefault="00B83890" w:rsidP="00B83890"/>
    <w:p w:rsidR="00B83890" w:rsidRPr="003D4FB0" w:rsidRDefault="00B83890" w:rsidP="00B83890">
      <w:r>
        <w:t>IMAX Melbourne Museum is Victoria’s premier giant-screen cinematic experience. During 2012</w:t>
      </w:r>
      <w:r w:rsidRPr="00D66C8C">
        <w:t>–</w:t>
      </w:r>
      <w:r>
        <w:t>13, f</w:t>
      </w:r>
      <w:r w:rsidRPr="003D4FB0">
        <w:t xml:space="preserve">ilm highlights included </w:t>
      </w:r>
      <w:r w:rsidRPr="003D4FB0">
        <w:rPr>
          <w:i/>
          <w:iCs/>
        </w:rPr>
        <w:t>The Dark Knight Rises</w:t>
      </w:r>
      <w:r w:rsidRPr="003D4FB0">
        <w:t xml:space="preserve">, </w:t>
      </w:r>
      <w:r w:rsidRPr="003D4FB0">
        <w:rPr>
          <w:i/>
          <w:iCs/>
        </w:rPr>
        <w:t>Skyfall</w:t>
      </w:r>
      <w:r w:rsidRPr="003D4FB0">
        <w:t xml:space="preserve">, </w:t>
      </w:r>
      <w:r w:rsidRPr="003D4FB0">
        <w:rPr>
          <w:i/>
          <w:iCs/>
        </w:rPr>
        <w:t>The Hobbit Part 1</w:t>
      </w:r>
      <w:r w:rsidRPr="003D4FB0">
        <w:t xml:space="preserve">, </w:t>
      </w:r>
      <w:r w:rsidRPr="003D4FB0">
        <w:rPr>
          <w:i/>
          <w:iCs/>
        </w:rPr>
        <w:t xml:space="preserve">Flight of the Butterflies </w:t>
      </w:r>
      <w:r w:rsidRPr="00645257">
        <w:t>3D</w:t>
      </w:r>
      <w:r w:rsidRPr="003D4FB0">
        <w:t xml:space="preserve">, </w:t>
      </w:r>
      <w:r w:rsidRPr="003D4FB0">
        <w:rPr>
          <w:i/>
          <w:iCs/>
        </w:rPr>
        <w:t xml:space="preserve">Jurassic Park </w:t>
      </w:r>
      <w:r w:rsidRPr="00645257">
        <w:t>3D</w:t>
      </w:r>
      <w:r w:rsidRPr="003D4FB0">
        <w:t xml:space="preserve">, </w:t>
      </w:r>
      <w:r w:rsidRPr="003D4FB0">
        <w:rPr>
          <w:i/>
          <w:iCs/>
        </w:rPr>
        <w:t xml:space="preserve">Iron Man 3 </w:t>
      </w:r>
      <w:r w:rsidRPr="00645257">
        <w:t>3D</w:t>
      </w:r>
      <w:r w:rsidRPr="003D4FB0">
        <w:t xml:space="preserve"> and </w:t>
      </w:r>
      <w:r w:rsidRPr="003D4FB0">
        <w:rPr>
          <w:i/>
          <w:iCs/>
        </w:rPr>
        <w:t xml:space="preserve">Star Trek Into Darkness </w:t>
      </w:r>
      <w:r w:rsidRPr="00645257">
        <w:t>3D</w:t>
      </w:r>
      <w:r w:rsidRPr="003D4FB0">
        <w:t>.</w:t>
      </w:r>
    </w:p>
    <w:p w:rsidR="00B83890" w:rsidRPr="003D4FB0" w:rsidRDefault="00B83890" w:rsidP="00B83890"/>
    <w:p w:rsidR="00B83890" w:rsidRDefault="00B83890" w:rsidP="00B83890">
      <w:r w:rsidRPr="003D4FB0">
        <w:t xml:space="preserve">A major focus for </w:t>
      </w:r>
      <w:r>
        <w:t>r</w:t>
      </w:r>
      <w:r w:rsidRPr="003D4FB0">
        <w:t xml:space="preserve">etail </w:t>
      </w:r>
      <w:r>
        <w:t>o</w:t>
      </w:r>
      <w:r w:rsidRPr="003D4FB0">
        <w:t xml:space="preserve">perations </w:t>
      </w:r>
      <w:r>
        <w:t>during the year</w:t>
      </w:r>
      <w:r w:rsidRPr="003D4FB0">
        <w:t xml:space="preserve"> was the further development of branded, licensed and wholesale merchandise ranges and the implementation of th</w:t>
      </w:r>
      <w:r>
        <w:t>e Museum Victoria online shop. B</w:t>
      </w:r>
      <w:r w:rsidRPr="003D4FB0">
        <w:t xml:space="preserve">randed product now represents </w:t>
      </w:r>
      <w:r w:rsidRPr="00AC5348">
        <w:t>25%</w:t>
      </w:r>
      <w:r w:rsidRPr="003D4FB0">
        <w:t xml:space="preserve"> of all sales across our venues and has been enhanced by the introduction of a complete range of merchandise to accompany the award</w:t>
      </w:r>
      <w:r>
        <w:t>-</w:t>
      </w:r>
      <w:r w:rsidRPr="003D4FB0">
        <w:t xml:space="preserve">winning </w:t>
      </w:r>
      <w:r w:rsidRPr="003D4FB0">
        <w:rPr>
          <w:i/>
          <w:iCs/>
        </w:rPr>
        <w:t>Art of Science</w:t>
      </w:r>
      <w:r w:rsidRPr="003D4FB0">
        <w:t xml:space="preserve"> exhibition, </w:t>
      </w:r>
      <w:r>
        <w:t>the</w:t>
      </w:r>
      <w:r w:rsidRPr="003D4FB0">
        <w:t xml:space="preserve"> new Dinosaur Discovery Kit, Tycho plush toy, the Melbourne Museum Souvenir Guide and additions to the Dynamic Earth minerals and jewellery range. The </w:t>
      </w:r>
      <w:r>
        <w:t>o</w:t>
      </w:r>
      <w:r w:rsidRPr="003D4FB0">
        <w:t xml:space="preserve">nline </w:t>
      </w:r>
      <w:r>
        <w:t>s</w:t>
      </w:r>
      <w:r w:rsidRPr="003D4FB0">
        <w:t xml:space="preserve">hop was launched </w:t>
      </w:r>
      <w:r>
        <w:t>during the year</w:t>
      </w:r>
      <w:r w:rsidRPr="003D4FB0">
        <w:t xml:space="preserve"> and now features </w:t>
      </w:r>
      <w:r>
        <w:t>more than</w:t>
      </w:r>
      <w:r w:rsidRPr="003D4FB0">
        <w:t xml:space="preserve"> 200 of our most popular products. </w:t>
      </w:r>
    </w:p>
    <w:p w:rsidR="00B83890" w:rsidRDefault="00B83890" w:rsidP="00B83890"/>
    <w:p w:rsidR="00B83890" w:rsidRDefault="00B83890" w:rsidP="00B83890">
      <w:r w:rsidRPr="003D4FB0">
        <w:t>Commercial events continued to be popular, with hirers taking advantage of the unique and elegant spaces across Melbourne Museum, Scienceworks and the Immigration Museum. The major growth area and investment in 2012</w:t>
      </w:r>
      <w:r>
        <w:t>–</w:t>
      </w:r>
      <w:r w:rsidRPr="003D4FB0">
        <w:t>13 was in the wedding market</w:t>
      </w:r>
      <w:r>
        <w:t>,</w:t>
      </w:r>
      <w:r w:rsidRPr="003D4FB0">
        <w:t xml:space="preserve"> with wedding ceremonies and receptions achieving growth of 150% on</w:t>
      </w:r>
      <w:r>
        <w:t xml:space="preserve"> the</w:t>
      </w:r>
      <w:r w:rsidRPr="003D4FB0">
        <w:t xml:space="preserve"> 2011</w:t>
      </w:r>
      <w:r>
        <w:t>–</w:t>
      </w:r>
      <w:r w:rsidRPr="003D4FB0">
        <w:t>12 financial year.</w:t>
      </w:r>
    </w:p>
    <w:p w:rsidR="00B83890" w:rsidRDefault="00B83890" w:rsidP="00B83890"/>
    <w:p w:rsidR="00B83890" w:rsidRPr="00677DA4" w:rsidRDefault="00B83890" w:rsidP="00B83890">
      <w:r w:rsidRPr="00677DA4">
        <w:t xml:space="preserve">Following the model of the Royal Exhibition Building, the Pumping Station at Scienceworks </w:t>
      </w:r>
      <w:r>
        <w:t>has been made</w:t>
      </w:r>
      <w:r w:rsidRPr="00677DA4">
        <w:t xml:space="preserve"> available to the public in the form of regular guided tours. This model has been adopted to maximise its commercial capacity as a splendid venue for functions and events. </w:t>
      </w:r>
    </w:p>
    <w:p w:rsidR="00B83890" w:rsidRDefault="00B83890" w:rsidP="00B83890"/>
    <w:p w:rsidR="00B83890" w:rsidRPr="0040355F" w:rsidRDefault="00B83890" w:rsidP="00B83890">
      <w:r>
        <w:t>Significant</w:t>
      </w:r>
      <w:r w:rsidRPr="0040355F">
        <w:t xml:space="preserve"> funding </w:t>
      </w:r>
      <w:r>
        <w:t xml:space="preserve">has been received </w:t>
      </w:r>
      <w:r w:rsidRPr="0040355F">
        <w:t>from Rio Tinto Limited to support the new</w:t>
      </w:r>
      <w:r>
        <w:t xml:space="preserve"> exhibition</w:t>
      </w:r>
      <w:r w:rsidRPr="0040355F">
        <w:t xml:space="preserve"> </w:t>
      </w:r>
      <w:r w:rsidRPr="0040355F">
        <w:rPr>
          <w:i/>
        </w:rPr>
        <w:t>First Peoples</w:t>
      </w:r>
      <w:r w:rsidRPr="0040355F">
        <w:t>.</w:t>
      </w:r>
      <w:r>
        <w:t xml:space="preserve"> </w:t>
      </w:r>
      <w:r w:rsidRPr="0040355F">
        <w:t xml:space="preserve">Together with funding from the Yulgilbar Foundation and the John T. Reid Charitable Trusts </w:t>
      </w:r>
      <w:r>
        <w:t>last</w:t>
      </w:r>
      <w:r w:rsidRPr="0040355F">
        <w:t xml:space="preserve"> year, this has resulted in </w:t>
      </w:r>
      <w:r>
        <w:t xml:space="preserve">achieving </w:t>
      </w:r>
      <w:r w:rsidRPr="0040355F">
        <w:t xml:space="preserve">the overall target of $750,000 in support from philanthropic and corporate supporters for the Bunjilaka </w:t>
      </w:r>
      <w:r>
        <w:t>r</w:t>
      </w:r>
      <w:r w:rsidRPr="0040355F">
        <w:t xml:space="preserve">edevelopment </w:t>
      </w:r>
      <w:r>
        <w:t>p</w:t>
      </w:r>
      <w:r w:rsidRPr="0040355F">
        <w:t>roject.</w:t>
      </w:r>
    </w:p>
    <w:p w:rsidR="00B83890" w:rsidRPr="003D4FB0" w:rsidRDefault="00B83890" w:rsidP="00B83890"/>
    <w:p w:rsidR="00B83890" w:rsidRPr="00677DA4" w:rsidRDefault="00B83890" w:rsidP="00B83890">
      <w:r w:rsidRPr="00677DA4">
        <w:t xml:space="preserve">Multimedia programs developed for the recent Touring Hall exhibition </w:t>
      </w:r>
      <w:r w:rsidRPr="00677DA4">
        <w:rPr>
          <w:i/>
        </w:rPr>
        <w:t xml:space="preserve">The Wonders of Ancient Mesopotamia </w:t>
      </w:r>
      <w:r w:rsidRPr="00677DA4">
        <w:t xml:space="preserve">have been licensed to the Hong Kong Museum of History </w:t>
      </w:r>
      <w:r>
        <w:t xml:space="preserve">and the </w:t>
      </w:r>
      <w:r w:rsidRPr="00677DA4">
        <w:t>Royal Ontario Museum, Toronto</w:t>
      </w:r>
      <w:r>
        <w:t>.</w:t>
      </w:r>
      <w:r w:rsidRPr="00677DA4">
        <w:t xml:space="preserve"> </w:t>
      </w:r>
    </w:p>
    <w:p w:rsidR="00B83890" w:rsidRPr="00677DA4" w:rsidRDefault="00B83890" w:rsidP="00B83890"/>
    <w:p w:rsidR="00B83890" w:rsidRPr="00677DA4" w:rsidRDefault="00B83890" w:rsidP="00B83890">
      <w:r w:rsidRPr="00677DA4">
        <w:rPr>
          <w:i/>
        </w:rPr>
        <w:t>The Final Hours</w:t>
      </w:r>
      <w:r w:rsidRPr="00677DA4">
        <w:t xml:space="preserve"> 3D theatre presentation, developed for the Touring Hall exhibition </w:t>
      </w:r>
      <w:r w:rsidRPr="00677DA4">
        <w:rPr>
          <w:i/>
        </w:rPr>
        <w:t>A Day in Pompeii,</w:t>
      </w:r>
      <w:r w:rsidRPr="00677DA4">
        <w:t xml:space="preserve"> was recently shown at Denver Museum of Nature and Culture, Colorado. A different exhibition </w:t>
      </w:r>
      <w:r>
        <w:t>about</w:t>
      </w:r>
      <w:r w:rsidRPr="00677DA4">
        <w:t xml:space="preserve"> Pompeii in Madrid, Spain has also licensed our multimedia.</w:t>
      </w:r>
    </w:p>
    <w:p w:rsidR="00B83890" w:rsidRDefault="00B83890" w:rsidP="00B83890">
      <w:pPr>
        <w:pStyle w:val="ListParagraph"/>
        <w:ind w:left="0"/>
      </w:pPr>
    </w:p>
    <w:p w:rsidR="00B83890" w:rsidRDefault="00B83890" w:rsidP="00B83890">
      <w:pPr>
        <w:pStyle w:val="ListParagraph"/>
        <w:ind w:left="0"/>
      </w:pPr>
    </w:p>
    <w:p w:rsidR="00B83890" w:rsidRDefault="00B83890" w:rsidP="00B83890">
      <w:pPr>
        <w:pStyle w:val="Heading2"/>
      </w:pPr>
      <w:r w:rsidRPr="00162D08">
        <w:t>Practising Good Governance</w:t>
      </w:r>
    </w:p>
    <w:p w:rsidR="00B83890" w:rsidRPr="0040355F" w:rsidRDefault="00B83890" w:rsidP="00B83890">
      <w:r w:rsidRPr="0040355F">
        <w:t xml:space="preserve">The Victorian Auditor-General’s Office (VAGO) completed its performance audit on </w:t>
      </w:r>
      <w:r>
        <w:t>c</w:t>
      </w:r>
      <w:r w:rsidRPr="0040355F">
        <w:t xml:space="preserve">ollection </w:t>
      </w:r>
      <w:r>
        <w:t>m</w:t>
      </w:r>
      <w:r w:rsidRPr="0040355F">
        <w:t xml:space="preserve">anagement in </w:t>
      </w:r>
      <w:r>
        <w:t>c</w:t>
      </w:r>
      <w:r w:rsidRPr="0040355F">
        <w:t xml:space="preserve">ultural </w:t>
      </w:r>
      <w:r>
        <w:t>a</w:t>
      </w:r>
      <w:r w:rsidRPr="0040355F">
        <w:t>gencies</w:t>
      </w:r>
      <w:r>
        <w:t>,</w:t>
      </w:r>
      <w:r w:rsidRPr="0040355F">
        <w:t xml:space="preserve"> and the final report was tabled in the Victorian Parliament </w:t>
      </w:r>
      <w:r w:rsidRPr="0040355F">
        <w:lastRenderedPageBreak/>
        <w:t>on 24 October 2012.</w:t>
      </w:r>
      <w:r>
        <w:t xml:space="preserve"> </w:t>
      </w:r>
      <w:r w:rsidRPr="0040355F">
        <w:t xml:space="preserve">VAGO </w:t>
      </w:r>
      <w:r>
        <w:t xml:space="preserve">concluded </w:t>
      </w:r>
      <w:r w:rsidRPr="0040355F">
        <w:t xml:space="preserve">that </w:t>
      </w:r>
      <w:r>
        <w:t>Museum Victoria’s</w:t>
      </w:r>
      <w:r w:rsidRPr="0040355F">
        <w:t xml:space="preserve"> approach to the care of its collections is, for the most part, strategic, sophisticated and sound.</w:t>
      </w:r>
    </w:p>
    <w:p w:rsidR="00B83890" w:rsidRPr="0040355F" w:rsidRDefault="00B83890" w:rsidP="00B83890"/>
    <w:p w:rsidR="00B83890" w:rsidRPr="0040355F" w:rsidRDefault="00B83890" w:rsidP="00B83890">
      <w:r w:rsidRPr="0040355F">
        <w:t xml:space="preserve">The VAGO audit praised Museum Victoria’s </w:t>
      </w:r>
      <w:r>
        <w:t>c</w:t>
      </w:r>
      <w:r w:rsidRPr="0040355F">
        <w:t xml:space="preserve">ollection </w:t>
      </w:r>
      <w:r>
        <w:t>r</w:t>
      </w:r>
      <w:r w:rsidRPr="0040355F">
        <w:t xml:space="preserve">isk </w:t>
      </w:r>
      <w:r>
        <w:t>a</w:t>
      </w:r>
      <w:r w:rsidRPr="0040355F">
        <w:t xml:space="preserve">ssessment and </w:t>
      </w:r>
      <w:r>
        <w:t>m</w:t>
      </w:r>
      <w:r w:rsidRPr="0040355F">
        <w:t>anagement initiative, a customised collection risk management framework, which is now in the second year of its implementation. The program is viewed as a strategic approach to informing Museum Victoria’s investment in collection care.</w:t>
      </w:r>
    </w:p>
    <w:p w:rsidR="00B83890" w:rsidRPr="0040355F" w:rsidRDefault="00B83890" w:rsidP="00B83890"/>
    <w:p w:rsidR="00B83890" w:rsidRPr="0040355F" w:rsidRDefault="00B83890" w:rsidP="00B83890">
      <w:r w:rsidRPr="0040355F">
        <w:t>Funding was obtained through Museum Victoria’s insurers, the Victorian Managed Insurance Authority, to purchase a Fourier Transform Infrared Spectrometer</w:t>
      </w:r>
      <w:r>
        <w:t xml:space="preserve">. </w:t>
      </w:r>
      <w:r w:rsidRPr="0040355F">
        <w:t xml:space="preserve">This will </w:t>
      </w:r>
      <w:r>
        <w:t>be used for</w:t>
      </w:r>
      <w:r w:rsidRPr="0040355F">
        <w:t xml:space="preserve"> testing for hazardous substances contained in some discrete elements of the State Collection.</w:t>
      </w:r>
      <w:r>
        <w:t xml:space="preserve"> </w:t>
      </w:r>
      <w:r w:rsidRPr="0040355F">
        <w:t xml:space="preserve">The equipment </w:t>
      </w:r>
      <w:r>
        <w:t>is</w:t>
      </w:r>
      <w:r w:rsidRPr="0040355F">
        <w:t xml:space="preserve"> critical for the </w:t>
      </w:r>
      <w:r>
        <w:t xml:space="preserve">completion of the </w:t>
      </w:r>
      <w:r w:rsidRPr="0040355F">
        <w:t>testing program commence</w:t>
      </w:r>
      <w:r>
        <w:t xml:space="preserve">d two years ago as part of the </w:t>
      </w:r>
      <w:r w:rsidRPr="0040355F">
        <w:t>Roadmap for Working Safely with Hazardous Substances in Collections.</w:t>
      </w:r>
    </w:p>
    <w:p w:rsidR="00B83890" w:rsidRDefault="00B83890" w:rsidP="00B83890"/>
    <w:p w:rsidR="00B83890" w:rsidRPr="00677DA4" w:rsidRDefault="00B83890" w:rsidP="00B83890">
      <w:r w:rsidRPr="00677DA4">
        <w:t xml:space="preserve">The Records and Archives team has focused on awareness and training for staff. Approximately </w:t>
      </w:r>
      <w:r>
        <w:t>70</w:t>
      </w:r>
      <w:r w:rsidRPr="00677DA4">
        <w:t xml:space="preserve"> staff members from across the organisation have attended a training session on using the </w:t>
      </w:r>
      <w:r>
        <w:t>r</w:t>
      </w:r>
      <w:r w:rsidRPr="00677DA4">
        <w:t xml:space="preserve">ecords </w:t>
      </w:r>
      <w:r>
        <w:t>s</w:t>
      </w:r>
      <w:r w:rsidRPr="00677DA4">
        <w:t>ystem TRIM to manage information.</w:t>
      </w:r>
      <w:r>
        <w:t xml:space="preserve"> </w:t>
      </w:r>
      <w:r w:rsidRPr="00677DA4">
        <w:t xml:space="preserve">This is reflected in a </w:t>
      </w:r>
      <w:r w:rsidRPr="00421CAD">
        <w:t>35%</w:t>
      </w:r>
      <w:r w:rsidRPr="00677DA4">
        <w:t xml:space="preserve"> increase in the number of records created in TRIM in 2012</w:t>
      </w:r>
      <w:r>
        <w:t>–</w:t>
      </w:r>
      <w:r w:rsidRPr="00677DA4">
        <w:t>13, compared with 2011</w:t>
      </w:r>
      <w:r>
        <w:t>–</w:t>
      </w:r>
      <w:r w:rsidRPr="00677DA4">
        <w:t>12.</w:t>
      </w:r>
    </w:p>
    <w:p w:rsidR="00B83890" w:rsidRPr="00677DA4" w:rsidRDefault="00B83890" w:rsidP="00B83890"/>
    <w:p w:rsidR="00B83890" w:rsidRDefault="00B83890" w:rsidP="00B83890">
      <w:r>
        <w:br w:type="page"/>
      </w:r>
    </w:p>
    <w:p w:rsidR="00B83890" w:rsidRDefault="00B83890" w:rsidP="00B83890">
      <w:pPr>
        <w:pStyle w:val="Heading1"/>
      </w:pPr>
      <w:r w:rsidRPr="0006717D">
        <w:lastRenderedPageBreak/>
        <w:t>Future Priorities</w:t>
      </w:r>
    </w:p>
    <w:p w:rsidR="00B83890" w:rsidRDefault="00B83890" w:rsidP="00B83890"/>
    <w:p w:rsidR="00B83890" w:rsidRPr="00341990" w:rsidRDefault="00B83890" w:rsidP="00B83890">
      <w:r w:rsidRPr="00AC5348">
        <w:t>Museum Victoria has developed a new strategic plan for the period 2013–18, which provides a framework for planning and decision making. Focus areas within the plan are as follows.</w:t>
      </w:r>
    </w:p>
    <w:p w:rsidR="00B83890" w:rsidRPr="00B6470E" w:rsidRDefault="00B83890" w:rsidP="00B83890">
      <w:pPr>
        <w:rPr>
          <w:highlight w:val="yellow"/>
        </w:rPr>
      </w:pPr>
    </w:p>
    <w:p w:rsidR="00B83890" w:rsidRDefault="00B83890" w:rsidP="004B1BAA">
      <w:pPr>
        <w:pStyle w:val="Heading2"/>
      </w:pPr>
      <w:r w:rsidRPr="00B43340">
        <w:t>Deepening Connections</w:t>
      </w:r>
    </w:p>
    <w:p w:rsidR="00B83890" w:rsidRDefault="00B83890" w:rsidP="00B83890">
      <w:pPr>
        <w:keepNext w:val="0"/>
        <w:widowControl w:val="0"/>
        <w:autoSpaceDE w:val="0"/>
        <w:autoSpaceDN w:val="0"/>
        <w:adjustRightInd w:val="0"/>
      </w:pPr>
      <w:r w:rsidRPr="00285889">
        <w:t>The way that visitors interact is changing. Many people wish to become</w:t>
      </w:r>
      <w:r>
        <w:t xml:space="preserve"> more active participants in their cultural experiences; </w:t>
      </w:r>
      <w:r w:rsidRPr="0003629B">
        <w:t>to personalise,</w:t>
      </w:r>
      <w:r>
        <w:t xml:space="preserve"> </w:t>
      </w:r>
      <w:r w:rsidRPr="0003629B">
        <w:t xml:space="preserve">communicate and share with others. </w:t>
      </w:r>
      <w:r w:rsidRPr="008E37F6">
        <w:t xml:space="preserve">Museums hold a unique place in the community, in our ability to engage people in critical ideas and issues </w:t>
      </w:r>
      <w:r>
        <w:t>through new ways of communicating and connecting.</w:t>
      </w:r>
    </w:p>
    <w:p w:rsidR="00B83890" w:rsidRDefault="00B83890" w:rsidP="00B83890">
      <w:pPr>
        <w:keepNext w:val="0"/>
        <w:widowControl w:val="0"/>
        <w:outlineLvl w:val="9"/>
      </w:pPr>
    </w:p>
    <w:p w:rsidR="00B83890" w:rsidRDefault="00B83890" w:rsidP="00B83890">
      <w:pPr>
        <w:keepNext w:val="0"/>
        <w:widowControl w:val="0"/>
        <w:outlineLvl w:val="9"/>
      </w:pPr>
      <w:r>
        <w:t>To achieve this, Museum Victoria will work towards the following outcomes:</w:t>
      </w:r>
    </w:p>
    <w:p w:rsidR="00B83890" w:rsidRDefault="00B83890" w:rsidP="00C14C5D">
      <w:pPr>
        <w:pStyle w:val="ListParagraph"/>
        <w:keepNext w:val="0"/>
        <w:widowControl w:val="0"/>
        <w:numPr>
          <w:ilvl w:val="0"/>
          <w:numId w:val="19"/>
        </w:numPr>
        <w:outlineLvl w:val="9"/>
      </w:pPr>
      <w:r w:rsidRPr="00086816">
        <w:t>Visitors are able to easily tailor their own</w:t>
      </w:r>
      <w:r>
        <w:t xml:space="preserve"> museum</w:t>
      </w:r>
      <w:r w:rsidRPr="00086816">
        <w:t xml:space="preserve"> e</w:t>
      </w:r>
      <w:r>
        <w:t>xperiences</w:t>
      </w:r>
    </w:p>
    <w:p w:rsidR="00B83890" w:rsidRDefault="00B83890" w:rsidP="00C14C5D">
      <w:pPr>
        <w:pStyle w:val="ListParagraph"/>
        <w:keepNext w:val="0"/>
        <w:widowControl w:val="0"/>
        <w:numPr>
          <w:ilvl w:val="0"/>
          <w:numId w:val="19"/>
        </w:numPr>
        <w:outlineLvl w:val="9"/>
      </w:pPr>
      <w:r w:rsidRPr="00086816">
        <w:t>People</w:t>
      </w:r>
      <w:r>
        <w:t xml:space="preserve"> co-</w:t>
      </w:r>
      <w:r w:rsidRPr="00086816">
        <w:t xml:space="preserve">create physical and digital experiences with the </w:t>
      </w:r>
      <w:r>
        <w:t>museum</w:t>
      </w:r>
    </w:p>
    <w:p w:rsidR="00B83890" w:rsidRDefault="00B83890" w:rsidP="00C14C5D">
      <w:pPr>
        <w:pStyle w:val="ListParagraph"/>
        <w:keepNext w:val="0"/>
        <w:widowControl w:val="0"/>
        <w:numPr>
          <w:ilvl w:val="0"/>
          <w:numId w:val="19"/>
        </w:numPr>
        <w:outlineLvl w:val="9"/>
      </w:pPr>
      <w:r w:rsidRPr="00886F7A">
        <w:t xml:space="preserve">The community trusts </w:t>
      </w:r>
      <w:r>
        <w:t>M</w:t>
      </w:r>
      <w:r w:rsidRPr="00886F7A">
        <w:t xml:space="preserve">useum </w:t>
      </w:r>
      <w:r>
        <w:t>Victoria as a</w:t>
      </w:r>
      <w:r w:rsidRPr="00886F7A">
        <w:t xml:space="preserve"> source of information on contemporary issues</w:t>
      </w:r>
    </w:p>
    <w:p w:rsidR="00B83890" w:rsidRDefault="00B83890" w:rsidP="00C14C5D">
      <w:pPr>
        <w:pStyle w:val="ListParagraph"/>
        <w:keepNext w:val="0"/>
        <w:widowControl w:val="0"/>
        <w:numPr>
          <w:ilvl w:val="0"/>
          <w:numId w:val="19"/>
        </w:numPr>
        <w:outlineLvl w:val="9"/>
      </w:pPr>
      <w:r>
        <w:t>Our</w:t>
      </w:r>
      <w:r w:rsidRPr="00711230">
        <w:t xml:space="preserve"> exper</w:t>
      </w:r>
      <w:r>
        <w:t xml:space="preserve">iences and resources are widely known and frequently </w:t>
      </w:r>
      <w:r w:rsidRPr="00711230">
        <w:t xml:space="preserve">used </w:t>
      </w:r>
      <w:r>
        <w:t>for</w:t>
      </w:r>
      <w:r w:rsidRPr="00711230">
        <w:t xml:space="preserve"> education </w:t>
      </w:r>
      <w:r>
        <w:t>purposes.</w:t>
      </w:r>
    </w:p>
    <w:p w:rsidR="00B83890" w:rsidRDefault="00B83890" w:rsidP="00B83890">
      <w:pPr>
        <w:keepNext w:val="0"/>
        <w:ind w:firstLine="765"/>
        <w:outlineLvl w:val="9"/>
      </w:pPr>
    </w:p>
    <w:p w:rsidR="00B83890" w:rsidRDefault="00B83890" w:rsidP="004B1BAA">
      <w:pPr>
        <w:pStyle w:val="Heading2"/>
      </w:pPr>
      <w:r w:rsidRPr="00B43340">
        <w:t>Investing in Knowledge, Expertise and Collections</w:t>
      </w:r>
    </w:p>
    <w:p w:rsidR="00B83890" w:rsidRDefault="00B83890" w:rsidP="00B83890">
      <w:pPr>
        <w:keepNext w:val="0"/>
        <w:widowControl w:val="0"/>
        <w:autoSpaceDE w:val="0"/>
        <w:autoSpaceDN w:val="0"/>
        <w:adjustRightInd w:val="0"/>
        <w:rPr>
          <w:rFonts w:cs="Arial"/>
        </w:rPr>
      </w:pPr>
      <w:r>
        <w:rPr>
          <w:rFonts w:cs="Arial"/>
        </w:rPr>
        <w:t>The major questions about the world that museums seek to answer are complex. Collections provide a sound basis for enquiry, but these questions cannot be understood through a single lens. 21</w:t>
      </w:r>
      <w:r w:rsidRPr="00024D66">
        <w:rPr>
          <w:rFonts w:cs="Arial"/>
        </w:rPr>
        <w:t>st</w:t>
      </w:r>
      <w:r>
        <w:rPr>
          <w:rFonts w:cs="Arial"/>
        </w:rPr>
        <w:t xml:space="preserve">-century museums bring together multiple disciplines, perspectives and </w:t>
      </w:r>
      <w:r w:rsidRPr="00ED0EF6">
        <w:rPr>
          <w:rFonts w:cs="Arial"/>
        </w:rPr>
        <w:t xml:space="preserve">understandings to develop a range of expertise </w:t>
      </w:r>
      <w:r>
        <w:rPr>
          <w:rFonts w:cs="Arial"/>
        </w:rPr>
        <w:t>that</w:t>
      </w:r>
      <w:r w:rsidRPr="00ED0EF6">
        <w:rPr>
          <w:rFonts w:cs="Arial"/>
        </w:rPr>
        <w:t xml:space="preserve"> deliver</w:t>
      </w:r>
      <w:r>
        <w:rPr>
          <w:rFonts w:cs="Arial"/>
        </w:rPr>
        <w:t>s</w:t>
      </w:r>
      <w:r w:rsidRPr="00ED0EF6">
        <w:rPr>
          <w:rFonts w:cs="Arial"/>
        </w:rPr>
        <w:t xml:space="preserve"> value to the community.</w:t>
      </w:r>
      <w:r>
        <w:rPr>
          <w:rFonts w:cs="Arial"/>
        </w:rPr>
        <w:t xml:space="preserve"> </w:t>
      </w:r>
    </w:p>
    <w:p w:rsidR="00B83890" w:rsidRDefault="00B83890" w:rsidP="00B83890">
      <w:pPr>
        <w:keepNext w:val="0"/>
        <w:widowControl w:val="0"/>
        <w:autoSpaceDE w:val="0"/>
        <w:autoSpaceDN w:val="0"/>
        <w:adjustRightInd w:val="0"/>
        <w:rPr>
          <w:rFonts w:cs="Arial"/>
        </w:rPr>
      </w:pPr>
    </w:p>
    <w:p w:rsidR="00B83890" w:rsidRDefault="00B83890" w:rsidP="00B83890">
      <w:pPr>
        <w:keepNext w:val="0"/>
        <w:widowControl w:val="0"/>
        <w:outlineLvl w:val="9"/>
      </w:pPr>
      <w:r>
        <w:t>To achieve this, Museum Victoria will work towards the following outcomes:</w:t>
      </w:r>
    </w:p>
    <w:p w:rsidR="00B83890" w:rsidRDefault="00B83890" w:rsidP="00C14C5D">
      <w:pPr>
        <w:pStyle w:val="ListParagraph"/>
        <w:keepNext w:val="0"/>
        <w:numPr>
          <w:ilvl w:val="0"/>
          <w:numId w:val="21"/>
        </w:numPr>
        <w:outlineLvl w:val="9"/>
      </w:pPr>
      <w:r w:rsidRPr="00604E93">
        <w:t xml:space="preserve">Interdisciplinary and collaborative projects generate new knowledge </w:t>
      </w:r>
    </w:p>
    <w:p w:rsidR="00B83890" w:rsidRDefault="00B83890" w:rsidP="00C14C5D">
      <w:pPr>
        <w:pStyle w:val="ListParagraph"/>
        <w:keepNext w:val="0"/>
        <w:numPr>
          <w:ilvl w:val="0"/>
          <w:numId w:val="21"/>
        </w:numPr>
        <w:outlineLvl w:val="9"/>
      </w:pPr>
      <w:r>
        <w:t>Our c</w:t>
      </w:r>
      <w:r w:rsidRPr="0026132E">
        <w:t xml:space="preserve">ollection care </w:t>
      </w:r>
      <w:r>
        <w:t>practices lead</w:t>
      </w:r>
      <w:r w:rsidRPr="006C2914">
        <w:t xml:space="preserve"> and respond to </w:t>
      </w:r>
      <w:r>
        <w:t>museum sector</w:t>
      </w:r>
      <w:r w:rsidRPr="006C2914">
        <w:t xml:space="preserve"> standards</w:t>
      </w:r>
      <w:r w:rsidRPr="00C71A86">
        <w:t xml:space="preserve"> </w:t>
      </w:r>
    </w:p>
    <w:p w:rsidR="00B83890" w:rsidRDefault="00B83890" w:rsidP="00C14C5D">
      <w:pPr>
        <w:pStyle w:val="ListParagraph"/>
        <w:keepNext w:val="0"/>
        <w:numPr>
          <w:ilvl w:val="0"/>
          <w:numId w:val="21"/>
        </w:numPr>
        <w:outlineLvl w:val="9"/>
      </w:pPr>
      <w:r w:rsidRPr="00886F7A">
        <w:t>All staff know and promote the significance of the collection</w:t>
      </w:r>
      <w:r>
        <w:t>.</w:t>
      </w:r>
    </w:p>
    <w:p w:rsidR="00B83890" w:rsidRPr="00AB1CB8" w:rsidRDefault="00B83890" w:rsidP="00B83890">
      <w:pPr>
        <w:keepNext w:val="0"/>
        <w:widowControl w:val="0"/>
        <w:ind w:firstLine="357"/>
        <w:outlineLvl w:val="9"/>
      </w:pPr>
    </w:p>
    <w:p w:rsidR="00B83890" w:rsidRDefault="00B83890" w:rsidP="004B1BAA">
      <w:pPr>
        <w:pStyle w:val="Heading2"/>
      </w:pPr>
      <w:r w:rsidRPr="00B43340">
        <w:t>Digital Transformation</w:t>
      </w:r>
    </w:p>
    <w:p w:rsidR="00B83890" w:rsidRDefault="00B83890" w:rsidP="00B83890">
      <w:pPr>
        <w:keepNext w:val="0"/>
        <w:widowControl w:val="0"/>
        <w:rPr>
          <w:color w:val="FF0000"/>
        </w:rPr>
      </w:pPr>
      <w:r w:rsidRPr="00E73B08">
        <w:t>Keeping up with the continually shifting digital environment requires organisations to be</w:t>
      </w:r>
      <w:r w:rsidRPr="00A67FE5">
        <w:t xml:space="preserve"> forward-looking and agile.</w:t>
      </w:r>
      <w:r w:rsidRPr="005B0918">
        <w:t xml:space="preserve"> </w:t>
      </w:r>
      <w:r>
        <w:t>This presents both a challenge and opportunity for museums, which must reposition themselves to operate effectively in the digital age. At its heart, this means changes in the way that people think, work and interact.</w:t>
      </w:r>
    </w:p>
    <w:p w:rsidR="00B83890" w:rsidRDefault="00B83890" w:rsidP="00B83890">
      <w:pPr>
        <w:keepNext w:val="0"/>
        <w:widowControl w:val="0"/>
        <w:outlineLvl w:val="9"/>
        <w:rPr>
          <w:color w:val="FF0000"/>
        </w:rPr>
      </w:pPr>
    </w:p>
    <w:p w:rsidR="00B83890" w:rsidRPr="00C410D8" w:rsidRDefault="00B83890" w:rsidP="00B83890">
      <w:pPr>
        <w:keepNext w:val="0"/>
        <w:widowControl w:val="0"/>
        <w:outlineLvl w:val="9"/>
      </w:pPr>
      <w:r>
        <w:t>To achieve this, Museum Victoria will work towards the following outcomes:</w:t>
      </w:r>
    </w:p>
    <w:p w:rsidR="00B83890" w:rsidRDefault="00B83890" w:rsidP="00C14C5D">
      <w:pPr>
        <w:pStyle w:val="ListParagraph"/>
        <w:keepNext w:val="0"/>
        <w:numPr>
          <w:ilvl w:val="0"/>
          <w:numId w:val="20"/>
        </w:numPr>
        <w:outlineLvl w:val="9"/>
        <w:rPr>
          <w:rFonts w:cs="Arial"/>
        </w:rPr>
      </w:pPr>
      <w:r w:rsidRPr="00604E93">
        <w:t>Staff incorporate digital systems into their daily work</w:t>
      </w:r>
      <w:r w:rsidRPr="00C410D8">
        <w:rPr>
          <w:rFonts w:cs="Arial"/>
        </w:rPr>
        <w:t xml:space="preserve"> </w:t>
      </w:r>
    </w:p>
    <w:p w:rsidR="00B83890" w:rsidRDefault="00B83890" w:rsidP="00C14C5D">
      <w:pPr>
        <w:pStyle w:val="ListParagraph"/>
        <w:keepNext w:val="0"/>
        <w:numPr>
          <w:ilvl w:val="0"/>
          <w:numId w:val="20"/>
        </w:numPr>
        <w:outlineLvl w:val="9"/>
      </w:pPr>
      <w:r w:rsidRPr="006A6DBB">
        <w:t xml:space="preserve">Our </w:t>
      </w:r>
      <w:r>
        <w:t>d</w:t>
      </w:r>
      <w:r w:rsidRPr="006A6DBB">
        <w:t xml:space="preserve">igital systems and </w:t>
      </w:r>
      <w:r>
        <w:t>platforms</w:t>
      </w:r>
      <w:r w:rsidRPr="006A6DBB">
        <w:t xml:space="preserve"> </w:t>
      </w:r>
      <w:r>
        <w:t>enable</w:t>
      </w:r>
      <w:r w:rsidRPr="006A6DBB">
        <w:t xml:space="preserve"> </w:t>
      </w:r>
      <w:r>
        <w:t xml:space="preserve">flexible </w:t>
      </w:r>
      <w:r w:rsidRPr="006A6DBB">
        <w:t xml:space="preserve">content </w:t>
      </w:r>
      <w:r>
        <w:t>generation</w:t>
      </w:r>
      <w:r w:rsidRPr="006C7C62">
        <w:t xml:space="preserve"> </w:t>
      </w:r>
    </w:p>
    <w:p w:rsidR="00B83890" w:rsidRDefault="00B83890" w:rsidP="00C14C5D">
      <w:pPr>
        <w:pStyle w:val="ListParagraph"/>
        <w:keepNext w:val="0"/>
        <w:numPr>
          <w:ilvl w:val="0"/>
          <w:numId w:val="20"/>
        </w:numPr>
        <w:outlineLvl w:val="9"/>
      </w:pPr>
      <w:r w:rsidRPr="00776033">
        <w:t xml:space="preserve">Our </w:t>
      </w:r>
      <w:r>
        <w:t>d</w:t>
      </w:r>
      <w:r w:rsidRPr="00776033">
        <w:t>igital infrastructure meets our business needs</w:t>
      </w:r>
      <w:r>
        <w:t>.</w:t>
      </w:r>
    </w:p>
    <w:p w:rsidR="00B83890" w:rsidRDefault="00B83890" w:rsidP="00B83890">
      <w:pPr>
        <w:pStyle w:val="ListParagraph"/>
      </w:pPr>
    </w:p>
    <w:p w:rsidR="00B83890" w:rsidRDefault="00B83890" w:rsidP="004B1BAA">
      <w:pPr>
        <w:pStyle w:val="Heading2"/>
      </w:pPr>
      <w:r w:rsidRPr="005A558E">
        <w:t>Organisational Resilience</w:t>
      </w:r>
    </w:p>
    <w:p w:rsidR="00B83890" w:rsidRDefault="00B83890" w:rsidP="00B83890">
      <w:pPr>
        <w:keepNext w:val="0"/>
        <w:widowControl w:val="0"/>
        <w:autoSpaceDE w:val="0"/>
        <w:autoSpaceDN w:val="0"/>
        <w:adjustRightInd w:val="0"/>
        <w:rPr>
          <w:rFonts w:cs="Arial"/>
        </w:rPr>
      </w:pPr>
      <w:r w:rsidRPr="005A558E">
        <w:rPr>
          <w:rFonts w:cs="Arial"/>
        </w:rPr>
        <w:t>Museum</w:t>
      </w:r>
      <w:r>
        <w:rPr>
          <w:rFonts w:cs="Arial"/>
        </w:rPr>
        <w:t>s</w:t>
      </w:r>
      <w:r w:rsidRPr="005A558E">
        <w:rPr>
          <w:rFonts w:cs="Arial"/>
        </w:rPr>
        <w:t xml:space="preserve"> aim to </w:t>
      </w:r>
      <w:r w:rsidRPr="005A271B">
        <w:rPr>
          <w:rFonts w:cs="Arial"/>
        </w:rPr>
        <w:t>engage,</w:t>
      </w:r>
      <w:r>
        <w:rPr>
          <w:rFonts w:cs="Arial"/>
        </w:rPr>
        <w:t xml:space="preserve"> entertain, move and inspire people</w:t>
      </w:r>
      <w:r w:rsidRPr="005A558E">
        <w:rPr>
          <w:rFonts w:cs="Arial"/>
        </w:rPr>
        <w:t xml:space="preserve">. </w:t>
      </w:r>
      <w:r>
        <w:rPr>
          <w:rFonts w:cs="Arial"/>
        </w:rPr>
        <w:t xml:space="preserve">All staff and volunteers contribute to this goal. In responding to the changing economic and social environment, it is important that people work collaboratively towards a common purpose and find creative ways to use resources more </w:t>
      </w:r>
      <w:r w:rsidRPr="005A271B">
        <w:rPr>
          <w:rFonts w:cs="Arial"/>
        </w:rPr>
        <w:t>effectively</w:t>
      </w:r>
      <w:r>
        <w:rPr>
          <w:rFonts w:cs="Arial"/>
        </w:rPr>
        <w:t xml:space="preserve">, to deliver the best possible value for the public. </w:t>
      </w:r>
    </w:p>
    <w:p w:rsidR="00B83890" w:rsidRPr="00A91E9E" w:rsidRDefault="00B83890" w:rsidP="00B83890">
      <w:pPr>
        <w:keepNext w:val="0"/>
        <w:widowControl w:val="0"/>
        <w:outlineLvl w:val="9"/>
        <w:rPr>
          <w:color w:val="FF0000"/>
        </w:rPr>
      </w:pPr>
    </w:p>
    <w:p w:rsidR="00B83890" w:rsidRDefault="00B83890" w:rsidP="00B83890">
      <w:pPr>
        <w:keepNext w:val="0"/>
        <w:widowControl w:val="0"/>
        <w:outlineLvl w:val="9"/>
        <w:rPr>
          <w:rFonts w:cs="Arial"/>
        </w:rPr>
      </w:pPr>
      <w:r>
        <w:t>To achieve this, Museum Victoria will work towards the following outcomes:</w:t>
      </w:r>
    </w:p>
    <w:p w:rsidR="00B83890" w:rsidRDefault="00B83890" w:rsidP="00C14C5D">
      <w:pPr>
        <w:pStyle w:val="ListParagraph"/>
        <w:keepNext w:val="0"/>
        <w:numPr>
          <w:ilvl w:val="0"/>
          <w:numId w:val="22"/>
        </w:numPr>
        <w:ind w:left="360"/>
        <w:outlineLvl w:val="9"/>
      </w:pPr>
      <w:r w:rsidRPr="00CC479D">
        <w:t xml:space="preserve">Staff </w:t>
      </w:r>
      <w:r>
        <w:t>are able to identify</w:t>
      </w:r>
      <w:r w:rsidRPr="00CC479D">
        <w:t xml:space="preserve"> how their work contributes to the networked organisation</w:t>
      </w:r>
    </w:p>
    <w:p w:rsidR="00B83890" w:rsidRDefault="00B83890" w:rsidP="00C14C5D">
      <w:pPr>
        <w:pStyle w:val="ListParagraph"/>
        <w:keepNext w:val="0"/>
        <w:numPr>
          <w:ilvl w:val="0"/>
          <w:numId w:val="22"/>
        </w:numPr>
        <w:ind w:left="360"/>
        <w:outlineLvl w:val="9"/>
      </w:pPr>
      <w:r w:rsidRPr="001753EA">
        <w:t xml:space="preserve">Museum </w:t>
      </w:r>
      <w:r>
        <w:t xml:space="preserve">Victoria </w:t>
      </w:r>
      <w:r w:rsidRPr="001753EA">
        <w:t xml:space="preserve">has an active safety culture </w:t>
      </w:r>
    </w:p>
    <w:p w:rsidR="00B83890" w:rsidRDefault="00B83890" w:rsidP="00C14C5D">
      <w:pPr>
        <w:pStyle w:val="ListParagraph"/>
        <w:keepNext w:val="0"/>
        <w:numPr>
          <w:ilvl w:val="0"/>
          <w:numId w:val="22"/>
        </w:numPr>
        <w:ind w:left="360"/>
        <w:outlineLvl w:val="9"/>
      </w:pPr>
      <w:r>
        <w:t>Our</w:t>
      </w:r>
      <w:r w:rsidRPr="00A0495A">
        <w:t xml:space="preserve"> </w:t>
      </w:r>
      <w:r>
        <w:t xml:space="preserve">diverse </w:t>
      </w:r>
      <w:r w:rsidRPr="00A0495A">
        <w:t>revenue streams</w:t>
      </w:r>
      <w:r>
        <w:t xml:space="preserve"> produce an increasing return</w:t>
      </w:r>
      <w:r w:rsidRPr="00BB1E38">
        <w:t xml:space="preserve"> </w:t>
      </w:r>
    </w:p>
    <w:p w:rsidR="00B83890" w:rsidRDefault="00B83890" w:rsidP="00C14C5D">
      <w:pPr>
        <w:pStyle w:val="ListParagraph"/>
        <w:keepNext w:val="0"/>
        <w:numPr>
          <w:ilvl w:val="0"/>
          <w:numId w:val="22"/>
        </w:numPr>
        <w:ind w:left="360"/>
        <w:outlineLvl w:val="9"/>
      </w:pPr>
      <w:r w:rsidRPr="0018006F">
        <w:lastRenderedPageBreak/>
        <w:t>Our</w:t>
      </w:r>
      <w:r>
        <w:t xml:space="preserve"> </w:t>
      </w:r>
      <w:r w:rsidRPr="0018006F">
        <w:t>business processes are integrated and easy to use</w:t>
      </w:r>
      <w:r w:rsidRPr="00BB1E38">
        <w:t xml:space="preserve"> </w:t>
      </w:r>
    </w:p>
    <w:p w:rsidR="00B83890" w:rsidRDefault="00B83890" w:rsidP="00C14C5D">
      <w:pPr>
        <w:pStyle w:val="ListParagraph"/>
        <w:keepNext w:val="0"/>
        <w:numPr>
          <w:ilvl w:val="0"/>
          <w:numId w:val="22"/>
        </w:numPr>
        <w:ind w:left="360"/>
        <w:outlineLvl w:val="9"/>
      </w:pPr>
      <w:r>
        <w:t>Staff are accountable for the sound stewardship of Museum Victoria resources.</w:t>
      </w:r>
    </w:p>
    <w:p w:rsidR="00B83890" w:rsidRDefault="00B83890" w:rsidP="00B83890">
      <w:pPr>
        <w:pStyle w:val="ListParagraph"/>
      </w:pPr>
    </w:p>
    <w:p w:rsidR="00B83890" w:rsidRDefault="00B83890" w:rsidP="004B1BAA">
      <w:pPr>
        <w:pStyle w:val="Heading2"/>
      </w:pPr>
      <w:r w:rsidRPr="005A558E">
        <w:t>Building Victoria’s Cultural Capital</w:t>
      </w:r>
    </w:p>
    <w:p w:rsidR="00B83890" w:rsidRDefault="00B83890" w:rsidP="00B83890">
      <w:pPr>
        <w:keepNext w:val="0"/>
        <w:widowControl w:val="0"/>
        <w:outlineLvl w:val="9"/>
        <w:rPr>
          <w:rFonts w:cs="Arial"/>
        </w:rPr>
      </w:pPr>
      <w:r>
        <w:rPr>
          <w:rFonts w:cs="Arial"/>
        </w:rPr>
        <w:t>Victoria’s cultural sector underpins the strength of the economy by generating jobs, supporting creative industries and attracting tourists from interstate and overseas. However, simply maintaining the current state of the sector is not enough. New opportunities must be exploited to ensure Victoria upholds its position as Australia’s arts and cultural capital.</w:t>
      </w:r>
    </w:p>
    <w:p w:rsidR="00B83890" w:rsidRDefault="00B83890" w:rsidP="00B83890">
      <w:pPr>
        <w:keepNext w:val="0"/>
        <w:widowControl w:val="0"/>
        <w:outlineLvl w:val="9"/>
      </w:pPr>
    </w:p>
    <w:p w:rsidR="00B83890" w:rsidRDefault="00B83890" w:rsidP="00B83890">
      <w:pPr>
        <w:keepNext w:val="0"/>
        <w:widowControl w:val="0"/>
        <w:outlineLvl w:val="9"/>
      </w:pPr>
      <w:r>
        <w:t>To achieve this, Museum Victoria will work towards the following outcomes:</w:t>
      </w:r>
    </w:p>
    <w:p w:rsidR="00B83890" w:rsidRDefault="00B83890" w:rsidP="00C14C5D">
      <w:pPr>
        <w:pStyle w:val="ListParagraph"/>
        <w:keepNext w:val="0"/>
        <w:numPr>
          <w:ilvl w:val="0"/>
          <w:numId w:val="23"/>
        </w:numPr>
        <w:outlineLvl w:val="9"/>
      </w:pPr>
      <w:r w:rsidRPr="00886F7A">
        <w:t>The Scienceworks precinct is developed to build understanding and skills in science and technology that support economic growth in Victoria</w:t>
      </w:r>
      <w:r w:rsidRPr="00306443" w:rsidDel="00C64289">
        <w:t xml:space="preserve"> </w:t>
      </w:r>
    </w:p>
    <w:p w:rsidR="00B83890" w:rsidRDefault="00B83890" w:rsidP="00C14C5D">
      <w:pPr>
        <w:pStyle w:val="ListParagraph"/>
        <w:keepNext w:val="0"/>
        <w:numPr>
          <w:ilvl w:val="0"/>
          <w:numId w:val="23"/>
        </w:numPr>
        <w:outlineLvl w:val="9"/>
      </w:pPr>
      <w:r>
        <w:t>A greater</w:t>
      </w:r>
      <w:r w:rsidRPr="00467BD0">
        <w:t xml:space="preserve"> exchange of people, expertise, products and services </w:t>
      </w:r>
      <w:r>
        <w:t xml:space="preserve">takes place </w:t>
      </w:r>
      <w:r w:rsidRPr="00467BD0">
        <w:t>with Asian scientific and cultural institutions</w:t>
      </w:r>
    </w:p>
    <w:p w:rsidR="00B83890" w:rsidRDefault="00B83890" w:rsidP="00C14C5D">
      <w:pPr>
        <w:pStyle w:val="ListParagraph"/>
        <w:keepNext w:val="0"/>
        <w:numPr>
          <w:ilvl w:val="0"/>
          <w:numId w:val="23"/>
        </w:numPr>
        <w:outlineLvl w:val="9"/>
      </w:pPr>
      <w:r>
        <w:t>The u</w:t>
      </w:r>
      <w:r w:rsidRPr="00886F7A">
        <w:t>nique scientific and heritage</w:t>
      </w:r>
      <w:r>
        <w:t xml:space="preserve"> </w:t>
      </w:r>
      <w:r w:rsidRPr="00886F7A">
        <w:t xml:space="preserve">record </w:t>
      </w:r>
      <w:r>
        <w:t xml:space="preserve">of the State Collection </w:t>
      </w:r>
      <w:r w:rsidRPr="00886F7A">
        <w:t xml:space="preserve">is developed and </w:t>
      </w:r>
      <w:r>
        <w:t>preserved</w:t>
      </w:r>
      <w:r w:rsidRPr="00886F7A">
        <w:t xml:space="preserve"> for</w:t>
      </w:r>
      <w:r w:rsidRPr="00D20BEC">
        <w:t xml:space="preserve"> </w:t>
      </w:r>
      <w:r w:rsidRPr="00886F7A">
        <w:t>future generations</w:t>
      </w:r>
    </w:p>
    <w:p w:rsidR="00B83890" w:rsidRDefault="00B83890" w:rsidP="00C14C5D">
      <w:pPr>
        <w:pStyle w:val="ListParagraph"/>
        <w:keepNext w:val="0"/>
        <w:numPr>
          <w:ilvl w:val="0"/>
          <w:numId w:val="23"/>
        </w:numPr>
        <w:outlineLvl w:val="9"/>
      </w:pPr>
      <w:r>
        <w:t>The Melbourne Museum precinct—incorporating the Royal Exhibition Building and Bunjilaka—</w:t>
      </w:r>
      <w:r w:rsidRPr="00886F7A">
        <w:t>is widely recognised as an exceptional cultural destination</w:t>
      </w:r>
    </w:p>
    <w:p w:rsidR="00B83890" w:rsidRDefault="00B83890" w:rsidP="00C14C5D">
      <w:pPr>
        <w:pStyle w:val="ListParagraph"/>
        <w:keepNext w:val="0"/>
        <w:numPr>
          <w:ilvl w:val="0"/>
          <w:numId w:val="23"/>
        </w:numPr>
        <w:outlineLvl w:val="9"/>
      </w:pPr>
      <w:r w:rsidRPr="00A21930">
        <w:t xml:space="preserve">The Immigration Museum is recognised as a leader in building intercultural understanding </w:t>
      </w:r>
      <w:r>
        <w:t>in the Victorian</w:t>
      </w:r>
      <w:r w:rsidRPr="00A21930">
        <w:t xml:space="preserve"> community</w:t>
      </w:r>
      <w:r>
        <w:t>.</w:t>
      </w:r>
    </w:p>
    <w:p w:rsidR="00B83890" w:rsidRDefault="00B83890" w:rsidP="00B83890">
      <w:pPr>
        <w:keepNext w:val="0"/>
        <w:widowControl w:val="0"/>
      </w:pPr>
    </w:p>
    <w:p w:rsidR="00B83890" w:rsidRDefault="00B83890" w:rsidP="00B83890">
      <w:pPr>
        <w:keepNext w:val="0"/>
        <w:widowControl w:val="0"/>
      </w:pPr>
    </w:p>
    <w:p w:rsidR="00B83890" w:rsidRDefault="00B83890" w:rsidP="00B83890">
      <w:pPr>
        <w:keepNext w:val="0"/>
        <w:outlineLvl w:val="9"/>
      </w:pPr>
      <w:r>
        <w:br w:type="page"/>
      </w:r>
    </w:p>
    <w:p w:rsidR="00B83890" w:rsidRDefault="00B83890" w:rsidP="00B83890">
      <w:pPr>
        <w:pStyle w:val="Heading1"/>
      </w:pPr>
      <w:r w:rsidRPr="00D06F72">
        <w:lastRenderedPageBreak/>
        <w:t>Corporate Governance</w:t>
      </w:r>
    </w:p>
    <w:p w:rsidR="00B83890" w:rsidRDefault="00B83890" w:rsidP="00B83890">
      <w:pPr>
        <w:keepNext w:val="0"/>
        <w:widowControl w:val="0"/>
      </w:pPr>
    </w:p>
    <w:p w:rsidR="00B83890" w:rsidRDefault="00B83890" w:rsidP="00B83890">
      <w:pPr>
        <w:pStyle w:val="Heading2"/>
        <w:keepNext w:val="0"/>
        <w:widowControl w:val="0"/>
      </w:pPr>
      <w:r w:rsidRPr="00343F2D">
        <w:t>Museums Board of Victoria</w:t>
      </w:r>
    </w:p>
    <w:p w:rsidR="00B83890" w:rsidRDefault="00B83890" w:rsidP="00B83890">
      <w:pPr>
        <w:keepNext w:val="0"/>
        <w:widowControl w:val="0"/>
      </w:pPr>
      <w:r w:rsidRPr="005904AB">
        <w:t xml:space="preserve">Museum Victoria is governed by the Museums Board of Victoria, a statutory body established under the </w:t>
      </w:r>
      <w:r w:rsidRPr="005904AB">
        <w:rPr>
          <w:i/>
          <w:iCs/>
        </w:rPr>
        <w:t>Museums Act 1983</w:t>
      </w:r>
      <w:r w:rsidRPr="005904AB">
        <w:t xml:space="preserve"> (Vic.). It co</w:t>
      </w:r>
      <w:r>
        <w:t xml:space="preserve">mprises </w:t>
      </w:r>
      <w:r w:rsidRPr="005904AB">
        <w:t>a maximum of 11 members, each appointed for a three-year term (for a maximum of three terms) by the Governor-in-Council, and is subject to the direction and control of the Victorian Minister for the Arts.</w:t>
      </w:r>
    </w:p>
    <w:p w:rsidR="00B83890" w:rsidRDefault="00B83890" w:rsidP="00B83890">
      <w:pPr>
        <w:keepNext w:val="0"/>
        <w:widowControl w:val="0"/>
      </w:pPr>
    </w:p>
    <w:p w:rsidR="00B83890" w:rsidRDefault="00B83890" w:rsidP="00B83890">
      <w:pPr>
        <w:keepNext w:val="0"/>
        <w:widowControl w:val="0"/>
      </w:pPr>
      <w:r w:rsidRPr="005904AB">
        <w:t>The Museums Board of Victoria is directly accountable to the Victorian Government through the Minister for the Arts</w:t>
      </w:r>
      <w:r>
        <w:t>,</w:t>
      </w:r>
      <w:r w:rsidRPr="005904AB">
        <w:t xml:space="preserve"> and works closely with Arts Victoria to deliver policy objectives.</w:t>
      </w:r>
    </w:p>
    <w:p w:rsidR="00B83890" w:rsidRDefault="00B83890" w:rsidP="00B83890">
      <w:pPr>
        <w:keepNext w:val="0"/>
        <w:widowControl w:val="0"/>
      </w:pPr>
    </w:p>
    <w:p w:rsidR="00B83890" w:rsidRDefault="00B83890" w:rsidP="00B83890">
      <w:pPr>
        <w:keepNext w:val="0"/>
        <w:widowControl w:val="0"/>
      </w:pPr>
      <w:r w:rsidRPr="005904AB">
        <w:t>The Museums Board of Victoria is responsible for maintaining the standards of Museum Victoria’s management and has the following functions:</w:t>
      </w:r>
    </w:p>
    <w:p w:rsidR="00B83890" w:rsidRDefault="00B83890" w:rsidP="00C14C5D">
      <w:pPr>
        <w:pStyle w:val="ListParagraph"/>
        <w:keepNext w:val="0"/>
        <w:widowControl w:val="0"/>
        <w:numPr>
          <w:ilvl w:val="0"/>
          <w:numId w:val="6"/>
        </w:numPr>
      </w:pPr>
      <w:r w:rsidRPr="005904AB">
        <w:t>to control, manage, operate, promote, develop and maintain Museum Victoria</w:t>
      </w:r>
    </w:p>
    <w:p w:rsidR="00B83890" w:rsidRDefault="00B83890" w:rsidP="00C14C5D">
      <w:pPr>
        <w:pStyle w:val="ListParagraph"/>
        <w:keepNext w:val="0"/>
        <w:widowControl w:val="0"/>
        <w:numPr>
          <w:ilvl w:val="0"/>
          <w:numId w:val="6"/>
        </w:numPr>
      </w:pPr>
      <w:r w:rsidRPr="005904AB">
        <w:t>to control, manage, operate, promote, develop and maintain the exhibition land as a place for holding public exhibitions and for the assembly, education, instruction, entertainment or recreation of the public</w:t>
      </w:r>
    </w:p>
    <w:p w:rsidR="00B83890" w:rsidRDefault="00B83890" w:rsidP="00C14C5D">
      <w:pPr>
        <w:pStyle w:val="ListParagraph"/>
        <w:keepNext w:val="0"/>
        <w:widowControl w:val="0"/>
        <w:numPr>
          <w:ilvl w:val="0"/>
          <w:numId w:val="6"/>
        </w:numPr>
      </w:pPr>
      <w:r w:rsidRPr="005904AB">
        <w:t>to develop and maintain the state collections of natural sciences, Indigenous cultures, social history and science and technology</w:t>
      </w:r>
    </w:p>
    <w:p w:rsidR="00B83890" w:rsidRDefault="00B83890" w:rsidP="00C14C5D">
      <w:pPr>
        <w:pStyle w:val="ListParagraph"/>
        <w:keepNext w:val="0"/>
        <w:widowControl w:val="0"/>
        <w:numPr>
          <w:ilvl w:val="0"/>
          <w:numId w:val="6"/>
        </w:numPr>
      </w:pPr>
      <w:r w:rsidRPr="005904AB">
        <w:t>to exhibit material from those collections for the purposes of education and entertainment</w:t>
      </w:r>
    </w:p>
    <w:p w:rsidR="00B83890" w:rsidRDefault="00B83890" w:rsidP="00C14C5D">
      <w:pPr>
        <w:pStyle w:val="ListParagraph"/>
        <w:keepNext w:val="0"/>
        <w:widowControl w:val="0"/>
        <w:numPr>
          <w:ilvl w:val="0"/>
          <w:numId w:val="6"/>
        </w:numPr>
      </w:pPr>
      <w:r w:rsidRPr="005904AB">
        <w:t>to promote</w:t>
      </w:r>
      <w:r>
        <w:t xml:space="preserve"> the</w:t>
      </w:r>
      <w:r w:rsidRPr="005904AB">
        <w:t xml:space="preserve"> use of those collections for scientific research</w:t>
      </w:r>
    </w:p>
    <w:p w:rsidR="00B83890" w:rsidRDefault="00B83890" w:rsidP="00C14C5D">
      <w:pPr>
        <w:pStyle w:val="ListParagraph"/>
        <w:keepNext w:val="0"/>
        <w:widowControl w:val="0"/>
        <w:numPr>
          <w:ilvl w:val="0"/>
          <w:numId w:val="6"/>
        </w:numPr>
      </w:pPr>
      <w:r w:rsidRPr="005904AB">
        <w:t>to promote the use of Museum Victoria’s resources for education in Victoria</w:t>
      </w:r>
    </w:p>
    <w:p w:rsidR="00B83890" w:rsidRDefault="00B83890" w:rsidP="00C14C5D">
      <w:pPr>
        <w:pStyle w:val="ListParagraph"/>
        <w:keepNext w:val="0"/>
        <w:widowControl w:val="0"/>
        <w:numPr>
          <w:ilvl w:val="0"/>
          <w:numId w:val="6"/>
        </w:numPr>
      </w:pPr>
      <w:r w:rsidRPr="005904AB">
        <w:t>to research, present and promote issues of public relevance and benefit</w:t>
      </w:r>
    </w:p>
    <w:p w:rsidR="00B83890" w:rsidRDefault="00B83890" w:rsidP="00C14C5D">
      <w:pPr>
        <w:pStyle w:val="ListParagraph"/>
        <w:keepNext w:val="0"/>
        <w:widowControl w:val="0"/>
        <w:numPr>
          <w:ilvl w:val="0"/>
          <w:numId w:val="6"/>
        </w:numPr>
      </w:pPr>
      <w:r w:rsidRPr="005904AB">
        <w:t>to act as a repository for specimens upon which scientific studies have been made or which may have special cultural or historical significance</w:t>
      </w:r>
    </w:p>
    <w:p w:rsidR="00B83890" w:rsidRDefault="00B83890" w:rsidP="00C14C5D">
      <w:pPr>
        <w:pStyle w:val="ListParagraph"/>
        <w:keepNext w:val="0"/>
        <w:widowControl w:val="0"/>
        <w:numPr>
          <w:ilvl w:val="0"/>
          <w:numId w:val="6"/>
        </w:numPr>
      </w:pPr>
      <w:r w:rsidRPr="005904AB">
        <w:t>to provide leadership to museums in Victoria</w:t>
      </w:r>
    </w:p>
    <w:p w:rsidR="00B83890" w:rsidRDefault="00B83890" w:rsidP="00C14C5D">
      <w:pPr>
        <w:pStyle w:val="ListParagraph"/>
        <w:keepNext w:val="0"/>
        <w:widowControl w:val="0"/>
        <w:numPr>
          <w:ilvl w:val="0"/>
          <w:numId w:val="6"/>
        </w:numPr>
      </w:pPr>
      <w:r w:rsidRPr="005904AB">
        <w:t xml:space="preserve">to advise the Victorian Minister for the Arts on matters relating to museums and </w:t>
      </w:r>
      <w:r>
        <w:t xml:space="preserve">the </w:t>
      </w:r>
      <w:r w:rsidRPr="005904AB">
        <w:t>coordination of museum services in Victoria.</w:t>
      </w:r>
    </w:p>
    <w:p w:rsidR="00B83890" w:rsidRDefault="00B83890" w:rsidP="00B83890">
      <w:pPr>
        <w:keepNext w:val="0"/>
        <w:widowControl w:val="0"/>
      </w:pPr>
    </w:p>
    <w:p w:rsidR="00B83890" w:rsidRDefault="00B83890" w:rsidP="00B83890">
      <w:pPr>
        <w:keepNext w:val="0"/>
        <w:widowControl w:val="0"/>
        <w:rPr>
          <w:rFonts w:cs="Arial"/>
        </w:rPr>
      </w:pPr>
      <w:r w:rsidRPr="00374872">
        <w:rPr>
          <w:rFonts w:cs="Arial"/>
        </w:rPr>
        <w:t xml:space="preserve">Number of meetings during the year: </w:t>
      </w:r>
      <w:r>
        <w:rPr>
          <w:rFonts w:cs="Arial"/>
        </w:rPr>
        <w:t>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Museums Board of Victoria"/>
        <w:tblDescription w:val="Table shows meeting attendance tally for members of the Museums Board of Victoria in 2012–13."/>
      </w:tblPr>
      <w:tblGrid>
        <w:gridCol w:w="4928"/>
        <w:gridCol w:w="3594"/>
      </w:tblGrid>
      <w:tr w:rsidR="00B83890" w:rsidRPr="00681449" w:rsidTr="0093396F">
        <w:trPr>
          <w:tblHeader/>
        </w:trPr>
        <w:tc>
          <w:tcPr>
            <w:tcW w:w="4928" w:type="dxa"/>
          </w:tcPr>
          <w:p w:rsidR="00B83890" w:rsidRDefault="00B83890" w:rsidP="006E6DC8">
            <w:pPr>
              <w:keepNext w:val="0"/>
              <w:widowControl w:val="0"/>
              <w:rPr>
                <w:rFonts w:cs="Arial"/>
                <w:b/>
              </w:rPr>
            </w:pPr>
            <w:r w:rsidRPr="00681449">
              <w:rPr>
                <w:rFonts w:cs="Arial"/>
                <w:b/>
              </w:rPr>
              <w:t>Board Member</w:t>
            </w:r>
          </w:p>
        </w:tc>
        <w:tc>
          <w:tcPr>
            <w:tcW w:w="3594" w:type="dxa"/>
          </w:tcPr>
          <w:p w:rsidR="00B83890" w:rsidRDefault="00B83890" w:rsidP="006E6DC8">
            <w:pPr>
              <w:keepNext w:val="0"/>
              <w:widowControl w:val="0"/>
              <w:rPr>
                <w:rFonts w:cs="Arial"/>
                <w:b/>
              </w:rPr>
            </w:pPr>
            <w:r w:rsidRPr="00681449">
              <w:rPr>
                <w:rFonts w:cs="Arial"/>
                <w:b/>
              </w:rPr>
              <w:t>No. of Meetings Attended</w:t>
            </w:r>
          </w:p>
        </w:tc>
      </w:tr>
      <w:tr w:rsidR="00B83890" w:rsidRPr="00681449" w:rsidTr="006E6DC8">
        <w:tc>
          <w:tcPr>
            <w:tcW w:w="4928" w:type="dxa"/>
          </w:tcPr>
          <w:p w:rsidR="00B83890" w:rsidRDefault="00B83890" w:rsidP="006E6DC8">
            <w:pPr>
              <w:keepNext w:val="0"/>
              <w:widowControl w:val="0"/>
              <w:rPr>
                <w:rFonts w:cs="Arial"/>
                <w:bCs/>
                <w:iCs/>
              </w:rPr>
            </w:pPr>
            <w:r w:rsidRPr="00681449">
              <w:rPr>
                <w:rFonts w:cs="Arial"/>
                <w:bCs/>
                <w:iCs/>
              </w:rPr>
              <w:t>Professor Margaret Gardner AO (President)</w:t>
            </w:r>
          </w:p>
        </w:tc>
        <w:tc>
          <w:tcPr>
            <w:tcW w:w="3594" w:type="dxa"/>
          </w:tcPr>
          <w:p w:rsidR="00B83890" w:rsidRDefault="00B83890" w:rsidP="006E6DC8">
            <w:pPr>
              <w:keepNext w:val="0"/>
              <w:widowControl w:val="0"/>
              <w:rPr>
                <w:rFonts w:cs="Arial"/>
              </w:rPr>
            </w:pPr>
            <w:r w:rsidRPr="009A177A">
              <w:rPr>
                <w:rFonts w:cs="Arial"/>
              </w:rPr>
              <w:t>8</w:t>
            </w:r>
          </w:p>
        </w:tc>
      </w:tr>
      <w:tr w:rsidR="00B83890" w:rsidRPr="00681449" w:rsidTr="006E6DC8">
        <w:tc>
          <w:tcPr>
            <w:tcW w:w="4928" w:type="dxa"/>
          </w:tcPr>
          <w:p w:rsidR="00B83890" w:rsidRDefault="00B83890" w:rsidP="006E6DC8">
            <w:pPr>
              <w:keepNext w:val="0"/>
              <w:widowControl w:val="0"/>
              <w:rPr>
                <w:rFonts w:cs="Arial"/>
                <w:bCs/>
                <w:iCs/>
              </w:rPr>
            </w:pPr>
            <w:r w:rsidRPr="00681449">
              <w:rPr>
                <w:rFonts w:cs="Arial"/>
                <w:bCs/>
                <w:iCs/>
              </w:rPr>
              <w:t>Mr Michael Perry (Treasurer)</w:t>
            </w:r>
          </w:p>
        </w:tc>
        <w:tc>
          <w:tcPr>
            <w:tcW w:w="3594" w:type="dxa"/>
          </w:tcPr>
          <w:p w:rsidR="00B83890" w:rsidRDefault="00B83890" w:rsidP="006E6DC8">
            <w:pPr>
              <w:keepNext w:val="0"/>
              <w:widowControl w:val="0"/>
              <w:rPr>
                <w:rFonts w:cs="Arial"/>
              </w:rPr>
            </w:pPr>
            <w:r w:rsidRPr="009A177A">
              <w:rPr>
                <w:rFonts w:cs="Arial"/>
              </w:rPr>
              <w:t>6</w:t>
            </w:r>
          </w:p>
        </w:tc>
      </w:tr>
      <w:tr w:rsidR="00B83890" w:rsidRPr="00681449" w:rsidTr="006E6DC8">
        <w:tc>
          <w:tcPr>
            <w:tcW w:w="4928" w:type="dxa"/>
          </w:tcPr>
          <w:p w:rsidR="00B83890" w:rsidRDefault="00B83890" w:rsidP="006E6DC8">
            <w:pPr>
              <w:keepNext w:val="0"/>
              <w:widowControl w:val="0"/>
              <w:rPr>
                <w:rFonts w:cs="Arial"/>
                <w:bCs/>
                <w:iCs/>
              </w:rPr>
            </w:pPr>
            <w:r>
              <w:rPr>
                <w:rFonts w:cs="Arial"/>
                <w:bCs/>
                <w:iCs/>
              </w:rPr>
              <w:t>Mr Jim Cousins AO</w:t>
            </w:r>
          </w:p>
        </w:tc>
        <w:tc>
          <w:tcPr>
            <w:tcW w:w="3594" w:type="dxa"/>
          </w:tcPr>
          <w:p w:rsidR="00B83890" w:rsidRDefault="00B83890" w:rsidP="006E6DC8">
            <w:pPr>
              <w:keepNext w:val="0"/>
              <w:widowControl w:val="0"/>
              <w:rPr>
                <w:rFonts w:cs="Arial"/>
              </w:rPr>
            </w:pPr>
            <w:r w:rsidRPr="009A177A">
              <w:rPr>
                <w:rFonts w:cs="Arial"/>
              </w:rPr>
              <w:t>7</w:t>
            </w:r>
          </w:p>
        </w:tc>
      </w:tr>
      <w:tr w:rsidR="00B83890" w:rsidRPr="00681449" w:rsidTr="006E6DC8">
        <w:tc>
          <w:tcPr>
            <w:tcW w:w="4928" w:type="dxa"/>
          </w:tcPr>
          <w:p w:rsidR="00B83890" w:rsidRDefault="00B83890" w:rsidP="006E6DC8">
            <w:pPr>
              <w:keepNext w:val="0"/>
              <w:widowControl w:val="0"/>
              <w:rPr>
                <w:rFonts w:cs="Arial"/>
                <w:bCs/>
                <w:iCs/>
              </w:rPr>
            </w:pPr>
            <w:r>
              <w:rPr>
                <w:rFonts w:cs="Arial"/>
                <w:bCs/>
                <w:iCs/>
              </w:rPr>
              <w:t>Ms Sylvia Falzon</w:t>
            </w:r>
          </w:p>
        </w:tc>
        <w:tc>
          <w:tcPr>
            <w:tcW w:w="3594" w:type="dxa"/>
          </w:tcPr>
          <w:p w:rsidR="00B83890" w:rsidRDefault="00B83890" w:rsidP="006E6DC8">
            <w:pPr>
              <w:keepNext w:val="0"/>
              <w:widowControl w:val="0"/>
              <w:rPr>
                <w:rFonts w:cs="Arial"/>
              </w:rPr>
            </w:pPr>
            <w:r w:rsidRPr="009A177A">
              <w:rPr>
                <w:rFonts w:cs="Arial"/>
              </w:rPr>
              <w:t>8</w:t>
            </w:r>
          </w:p>
        </w:tc>
      </w:tr>
      <w:tr w:rsidR="00B83890" w:rsidRPr="00681449" w:rsidTr="006E6DC8">
        <w:tc>
          <w:tcPr>
            <w:tcW w:w="4928" w:type="dxa"/>
          </w:tcPr>
          <w:p w:rsidR="00B83890" w:rsidRDefault="00B83890" w:rsidP="006E6DC8">
            <w:pPr>
              <w:keepNext w:val="0"/>
              <w:widowControl w:val="0"/>
              <w:rPr>
                <w:rFonts w:cs="Arial"/>
                <w:bCs/>
                <w:iCs/>
              </w:rPr>
            </w:pPr>
            <w:r>
              <w:rPr>
                <w:rFonts w:cs="Arial"/>
                <w:bCs/>
                <w:iCs/>
              </w:rPr>
              <w:t>Mr Wilkin Fon</w:t>
            </w:r>
          </w:p>
        </w:tc>
        <w:tc>
          <w:tcPr>
            <w:tcW w:w="3594" w:type="dxa"/>
          </w:tcPr>
          <w:p w:rsidR="00B83890" w:rsidRDefault="00B83890" w:rsidP="006E6DC8">
            <w:pPr>
              <w:keepNext w:val="0"/>
              <w:widowControl w:val="0"/>
              <w:rPr>
                <w:rFonts w:cs="Arial"/>
              </w:rPr>
            </w:pPr>
            <w:r w:rsidRPr="009A177A">
              <w:rPr>
                <w:rFonts w:cs="Arial"/>
              </w:rPr>
              <w:t>8</w:t>
            </w:r>
          </w:p>
        </w:tc>
      </w:tr>
      <w:tr w:rsidR="00B83890" w:rsidRPr="00681449" w:rsidTr="006E6DC8">
        <w:tc>
          <w:tcPr>
            <w:tcW w:w="4928" w:type="dxa"/>
          </w:tcPr>
          <w:p w:rsidR="00B83890" w:rsidRDefault="00B83890" w:rsidP="006E6DC8">
            <w:pPr>
              <w:keepNext w:val="0"/>
              <w:widowControl w:val="0"/>
              <w:rPr>
                <w:rFonts w:cs="Arial"/>
                <w:bCs/>
                <w:iCs/>
              </w:rPr>
            </w:pPr>
            <w:r>
              <w:rPr>
                <w:rFonts w:cs="Arial"/>
                <w:bCs/>
                <w:iCs/>
              </w:rPr>
              <w:t>Mr Colin Golvan SC</w:t>
            </w:r>
          </w:p>
        </w:tc>
        <w:tc>
          <w:tcPr>
            <w:tcW w:w="3594" w:type="dxa"/>
          </w:tcPr>
          <w:p w:rsidR="00B83890" w:rsidRDefault="00B83890" w:rsidP="006E6DC8">
            <w:pPr>
              <w:keepNext w:val="0"/>
              <w:widowControl w:val="0"/>
              <w:rPr>
                <w:rFonts w:cs="Arial"/>
              </w:rPr>
            </w:pPr>
            <w:r w:rsidRPr="009A177A">
              <w:rPr>
                <w:rFonts w:cs="Arial"/>
              </w:rPr>
              <w:t>7</w:t>
            </w:r>
          </w:p>
        </w:tc>
      </w:tr>
      <w:tr w:rsidR="00B83890" w:rsidRPr="00681449" w:rsidTr="006E6DC8">
        <w:tc>
          <w:tcPr>
            <w:tcW w:w="4928" w:type="dxa"/>
          </w:tcPr>
          <w:p w:rsidR="00B83890" w:rsidRDefault="00B83890" w:rsidP="006E6DC8">
            <w:pPr>
              <w:keepNext w:val="0"/>
              <w:widowControl w:val="0"/>
              <w:rPr>
                <w:rFonts w:cs="Arial"/>
                <w:bCs/>
                <w:iCs/>
              </w:rPr>
            </w:pPr>
            <w:r>
              <w:rPr>
                <w:rFonts w:cs="Arial"/>
                <w:bCs/>
                <w:iCs/>
              </w:rPr>
              <w:t>Professor Pookong Kee</w:t>
            </w:r>
          </w:p>
        </w:tc>
        <w:tc>
          <w:tcPr>
            <w:tcW w:w="3594" w:type="dxa"/>
          </w:tcPr>
          <w:p w:rsidR="00B83890" w:rsidRDefault="00B83890" w:rsidP="006E6DC8">
            <w:pPr>
              <w:keepNext w:val="0"/>
              <w:widowControl w:val="0"/>
              <w:rPr>
                <w:rFonts w:cs="Arial"/>
              </w:rPr>
            </w:pPr>
            <w:r w:rsidRPr="009A177A">
              <w:rPr>
                <w:rFonts w:cs="Arial"/>
              </w:rPr>
              <w:t>7</w:t>
            </w:r>
          </w:p>
        </w:tc>
      </w:tr>
      <w:tr w:rsidR="00B83890" w:rsidRPr="00681449" w:rsidTr="006E6DC8">
        <w:tc>
          <w:tcPr>
            <w:tcW w:w="4928" w:type="dxa"/>
          </w:tcPr>
          <w:p w:rsidR="00B83890" w:rsidRDefault="00B83890" w:rsidP="006E6DC8">
            <w:pPr>
              <w:keepNext w:val="0"/>
              <w:widowControl w:val="0"/>
              <w:rPr>
                <w:rFonts w:cs="Arial"/>
                <w:bCs/>
                <w:iCs/>
              </w:rPr>
            </w:pPr>
            <w:r w:rsidRPr="00681449">
              <w:rPr>
                <w:rFonts w:cs="Arial"/>
                <w:bCs/>
                <w:iCs/>
              </w:rPr>
              <w:t>Dr Gaye Sculthorpe</w:t>
            </w:r>
            <w:r>
              <w:rPr>
                <w:rFonts w:cs="Arial"/>
                <w:bCs/>
                <w:iCs/>
              </w:rPr>
              <w:t xml:space="preserve"> (to 15 February 2013)</w:t>
            </w:r>
          </w:p>
        </w:tc>
        <w:tc>
          <w:tcPr>
            <w:tcW w:w="3594" w:type="dxa"/>
          </w:tcPr>
          <w:p w:rsidR="00B83890" w:rsidRDefault="00B83890" w:rsidP="006E6DC8">
            <w:pPr>
              <w:keepNext w:val="0"/>
              <w:widowControl w:val="0"/>
              <w:rPr>
                <w:rFonts w:cs="Arial"/>
              </w:rPr>
            </w:pPr>
            <w:r w:rsidRPr="009A177A">
              <w:rPr>
                <w:rFonts w:cs="Arial"/>
              </w:rPr>
              <w:t>5 (of 5, 2 as an observer)</w:t>
            </w:r>
          </w:p>
        </w:tc>
      </w:tr>
      <w:tr w:rsidR="00B83890" w:rsidRPr="00681449" w:rsidTr="006E6DC8">
        <w:tc>
          <w:tcPr>
            <w:tcW w:w="4928" w:type="dxa"/>
          </w:tcPr>
          <w:p w:rsidR="00B83890" w:rsidRDefault="00B83890" w:rsidP="006E6DC8">
            <w:pPr>
              <w:keepNext w:val="0"/>
              <w:widowControl w:val="0"/>
              <w:rPr>
                <w:rFonts w:cs="Arial"/>
                <w:bCs/>
                <w:iCs/>
              </w:rPr>
            </w:pPr>
            <w:r w:rsidRPr="00681449">
              <w:rPr>
                <w:rFonts w:cs="Arial"/>
                <w:bCs/>
                <w:iCs/>
              </w:rPr>
              <w:t>Mr Tim Sullivan</w:t>
            </w:r>
          </w:p>
        </w:tc>
        <w:tc>
          <w:tcPr>
            <w:tcW w:w="3594" w:type="dxa"/>
          </w:tcPr>
          <w:p w:rsidR="00B83890" w:rsidRDefault="00B83890" w:rsidP="006E6DC8">
            <w:pPr>
              <w:keepNext w:val="0"/>
              <w:widowControl w:val="0"/>
              <w:rPr>
                <w:rFonts w:cs="Arial"/>
              </w:rPr>
            </w:pPr>
            <w:r w:rsidRPr="009A177A">
              <w:rPr>
                <w:rFonts w:cs="Arial"/>
              </w:rPr>
              <w:t>7 (2 as an observer)</w:t>
            </w:r>
          </w:p>
        </w:tc>
      </w:tr>
    </w:tbl>
    <w:p w:rsidR="00B83890" w:rsidRDefault="00B83890" w:rsidP="00B83890">
      <w:pPr>
        <w:keepNext w:val="0"/>
        <w:widowControl w:val="0"/>
      </w:pPr>
    </w:p>
    <w:p w:rsidR="00E1167D" w:rsidRDefault="00E1167D">
      <w:pPr>
        <w:keepNext w:val="0"/>
        <w:spacing w:after="200" w:line="276" w:lineRule="auto"/>
        <w:outlineLvl w:val="9"/>
        <w:rPr>
          <w:rFonts w:cs="Arial"/>
          <w:b/>
          <w:sz w:val="24"/>
          <w:szCs w:val="24"/>
        </w:rPr>
      </w:pPr>
      <w:r>
        <w:br w:type="page"/>
      </w:r>
    </w:p>
    <w:p w:rsidR="00B83890" w:rsidRDefault="00B83890" w:rsidP="00B83890">
      <w:pPr>
        <w:pStyle w:val="Heading3"/>
        <w:keepNext w:val="0"/>
        <w:widowControl w:val="0"/>
      </w:pPr>
      <w:r w:rsidRPr="003F0168">
        <w:lastRenderedPageBreak/>
        <w:t>Committees</w:t>
      </w:r>
    </w:p>
    <w:p w:rsidR="00B83890" w:rsidRDefault="00B83890" w:rsidP="00B83890">
      <w:pPr>
        <w:keepNext w:val="0"/>
        <w:widowControl w:val="0"/>
      </w:pPr>
      <w:r w:rsidRPr="005904AB">
        <w:t xml:space="preserve">The Board has established a number of committees under the Act. </w:t>
      </w:r>
    </w:p>
    <w:p w:rsidR="00B83890" w:rsidRDefault="00B83890" w:rsidP="00B83890">
      <w:pPr>
        <w:pStyle w:val="Heading4"/>
        <w:keepNext w:val="0"/>
        <w:widowControl w:val="0"/>
      </w:pPr>
    </w:p>
    <w:p w:rsidR="00B83890" w:rsidRPr="004B1BAA" w:rsidRDefault="00B83890" w:rsidP="004B1BAA">
      <w:pPr>
        <w:pStyle w:val="Heading4"/>
      </w:pPr>
      <w:r w:rsidRPr="004B1BAA">
        <w:t>Aboriginal Cultural Heritage Advisory Committee</w:t>
      </w:r>
    </w:p>
    <w:p w:rsidR="00B83890" w:rsidRDefault="00B83890" w:rsidP="00B83890">
      <w:pPr>
        <w:keepNext w:val="0"/>
        <w:widowControl w:val="0"/>
      </w:pPr>
      <w:r w:rsidRPr="005904AB">
        <w:t>The committee advises the Board on all matters relevant to Aboriginal cultural heritage. Its members include representatives from Aboriginal communities throughout Victoria.</w:t>
      </w:r>
      <w:r w:rsidRPr="005904AB">
        <w:rPr>
          <w:i/>
          <w:iCs/>
        </w:rPr>
        <w:t xml:space="preserve"> </w:t>
      </w:r>
    </w:p>
    <w:p w:rsidR="00B83890" w:rsidRDefault="00B83890" w:rsidP="00B83890">
      <w:pPr>
        <w:keepNext w:val="0"/>
        <w:widowControl w:val="0"/>
      </w:pPr>
    </w:p>
    <w:p w:rsidR="00B83890" w:rsidRPr="003921AF" w:rsidRDefault="00B83890" w:rsidP="00B83890">
      <w:pPr>
        <w:keepNext w:val="0"/>
        <w:widowControl w:val="0"/>
        <w:rPr>
          <w:rFonts w:cs="Arial"/>
        </w:rPr>
      </w:pPr>
      <w:r w:rsidRPr="003921AF">
        <w:rPr>
          <w:rFonts w:cs="Arial"/>
        </w:rPr>
        <w:t>Number of meetings during the year: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Aboriginal Cultural Heritage Advisory Committee"/>
        <w:tblDescription w:val="Table shows meeting attendance tally for members of the Aboriginal CulturalHeritage Advisory Committee for 2012–13."/>
      </w:tblPr>
      <w:tblGrid>
        <w:gridCol w:w="4928"/>
        <w:gridCol w:w="3594"/>
      </w:tblGrid>
      <w:tr w:rsidR="00B83890" w:rsidRPr="003921AF" w:rsidTr="0093396F">
        <w:trPr>
          <w:tblHeader/>
        </w:trPr>
        <w:tc>
          <w:tcPr>
            <w:tcW w:w="4928" w:type="dxa"/>
          </w:tcPr>
          <w:p w:rsidR="00B83890" w:rsidRPr="003921AF" w:rsidRDefault="00B83890" w:rsidP="006E6DC8">
            <w:pPr>
              <w:keepNext w:val="0"/>
              <w:widowControl w:val="0"/>
              <w:rPr>
                <w:rFonts w:cs="Arial"/>
                <w:b/>
              </w:rPr>
            </w:pPr>
            <w:r w:rsidRPr="003921AF">
              <w:rPr>
                <w:rFonts w:cs="Arial"/>
                <w:b/>
              </w:rPr>
              <w:t>Committee Member</w:t>
            </w:r>
          </w:p>
        </w:tc>
        <w:tc>
          <w:tcPr>
            <w:tcW w:w="3594" w:type="dxa"/>
          </w:tcPr>
          <w:p w:rsidR="00B83890" w:rsidRPr="003921AF" w:rsidRDefault="00B83890" w:rsidP="006E6DC8">
            <w:pPr>
              <w:keepNext w:val="0"/>
              <w:widowControl w:val="0"/>
              <w:rPr>
                <w:rFonts w:cs="Arial"/>
                <w:b/>
              </w:rPr>
            </w:pPr>
            <w:r w:rsidRPr="003921AF">
              <w:rPr>
                <w:rFonts w:cs="Arial"/>
                <w:b/>
              </w:rPr>
              <w:t>No. of Meetings Attended</w:t>
            </w:r>
          </w:p>
        </w:tc>
      </w:tr>
      <w:tr w:rsidR="00B83890" w:rsidRPr="003921AF" w:rsidTr="006E6DC8">
        <w:tc>
          <w:tcPr>
            <w:tcW w:w="4928" w:type="dxa"/>
          </w:tcPr>
          <w:p w:rsidR="00B83890" w:rsidRPr="003921AF" w:rsidRDefault="00B83890" w:rsidP="006E6DC8">
            <w:pPr>
              <w:keepNext w:val="0"/>
              <w:widowControl w:val="0"/>
              <w:rPr>
                <w:rFonts w:cs="Arial"/>
                <w:bCs/>
                <w:iCs/>
              </w:rPr>
            </w:pPr>
            <w:r w:rsidRPr="003921AF">
              <w:rPr>
                <w:rFonts w:cs="Arial"/>
                <w:bCs/>
                <w:iCs/>
              </w:rPr>
              <w:t>Dr Gaye Sculthorpe (Chair)</w:t>
            </w:r>
          </w:p>
        </w:tc>
        <w:tc>
          <w:tcPr>
            <w:tcW w:w="3594" w:type="dxa"/>
          </w:tcPr>
          <w:p w:rsidR="00B83890" w:rsidRPr="003921AF" w:rsidRDefault="00B83890" w:rsidP="006E6DC8">
            <w:pPr>
              <w:keepNext w:val="0"/>
              <w:widowControl w:val="0"/>
              <w:rPr>
                <w:rFonts w:cs="Arial"/>
              </w:rPr>
            </w:pPr>
            <w:r w:rsidRPr="003921AF">
              <w:rPr>
                <w:rFonts w:cs="Arial"/>
              </w:rPr>
              <w:t>2</w:t>
            </w:r>
          </w:p>
        </w:tc>
      </w:tr>
      <w:tr w:rsidR="00B83890" w:rsidRPr="003921AF" w:rsidTr="006E6DC8">
        <w:tc>
          <w:tcPr>
            <w:tcW w:w="4928" w:type="dxa"/>
          </w:tcPr>
          <w:p w:rsidR="00B83890" w:rsidRPr="003921AF" w:rsidRDefault="00B83890" w:rsidP="006E6DC8">
            <w:pPr>
              <w:keepNext w:val="0"/>
              <w:widowControl w:val="0"/>
              <w:rPr>
                <w:rFonts w:cs="Arial"/>
                <w:bCs/>
                <w:iCs/>
              </w:rPr>
            </w:pPr>
            <w:r w:rsidRPr="003921AF">
              <w:rPr>
                <w:rFonts w:cs="Arial"/>
                <w:bCs/>
                <w:iCs/>
              </w:rPr>
              <w:t>Ms Julie Andrews</w:t>
            </w:r>
          </w:p>
        </w:tc>
        <w:tc>
          <w:tcPr>
            <w:tcW w:w="3594" w:type="dxa"/>
          </w:tcPr>
          <w:p w:rsidR="00B83890" w:rsidRPr="003921AF" w:rsidRDefault="00B83890" w:rsidP="006E6DC8">
            <w:pPr>
              <w:keepNext w:val="0"/>
              <w:widowControl w:val="0"/>
              <w:rPr>
                <w:rFonts w:cs="Arial"/>
              </w:rPr>
            </w:pPr>
            <w:r w:rsidRPr="003921AF">
              <w:rPr>
                <w:rFonts w:cs="Arial"/>
              </w:rPr>
              <w:t>2</w:t>
            </w:r>
          </w:p>
        </w:tc>
      </w:tr>
      <w:tr w:rsidR="00B83890" w:rsidRPr="003921AF" w:rsidTr="006E6DC8">
        <w:tc>
          <w:tcPr>
            <w:tcW w:w="4928" w:type="dxa"/>
          </w:tcPr>
          <w:p w:rsidR="00B83890" w:rsidRPr="003921AF" w:rsidRDefault="00B83890" w:rsidP="006E6DC8">
            <w:pPr>
              <w:keepNext w:val="0"/>
              <w:widowControl w:val="0"/>
              <w:rPr>
                <w:rFonts w:cs="Arial"/>
                <w:bCs/>
                <w:iCs/>
              </w:rPr>
            </w:pPr>
            <w:r w:rsidRPr="003921AF">
              <w:rPr>
                <w:rFonts w:cs="Arial"/>
                <w:bCs/>
                <w:iCs/>
              </w:rPr>
              <w:t>Professor Henry Atkinson</w:t>
            </w:r>
          </w:p>
        </w:tc>
        <w:tc>
          <w:tcPr>
            <w:tcW w:w="3594" w:type="dxa"/>
          </w:tcPr>
          <w:p w:rsidR="00B83890" w:rsidRPr="003921AF" w:rsidRDefault="00B83890" w:rsidP="006E6DC8">
            <w:pPr>
              <w:keepNext w:val="0"/>
              <w:widowControl w:val="0"/>
              <w:rPr>
                <w:rFonts w:cs="Arial"/>
              </w:rPr>
            </w:pPr>
            <w:r w:rsidRPr="003921AF">
              <w:rPr>
                <w:rFonts w:cs="Arial"/>
              </w:rPr>
              <w:t>3</w:t>
            </w:r>
          </w:p>
        </w:tc>
      </w:tr>
      <w:tr w:rsidR="00B83890" w:rsidRPr="003921AF" w:rsidTr="006E6DC8">
        <w:tc>
          <w:tcPr>
            <w:tcW w:w="4928" w:type="dxa"/>
          </w:tcPr>
          <w:p w:rsidR="00B83890" w:rsidRPr="003921AF" w:rsidRDefault="00B83890" w:rsidP="006E6DC8">
            <w:pPr>
              <w:keepNext w:val="0"/>
              <w:widowControl w:val="0"/>
              <w:rPr>
                <w:rFonts w:cs="Arial"/>
                <w:bCs/>
                <w:iCs/>
              </w:rPr>
            </w:pPr>
            <w:r w:rsidRPr="003921AF">
              <w:rPr>
                <w:rFonts w:cs="Arial"/>
                <w:bCs/>
                <w:iCs/>
              </w:rPr>
              <w:t>Ms Carolyn Briggs</w:t>
            </w:r>
          </w:p>
        </w:tc>
        <w:tc>
          <w:tcPr>
            <w:tcW w:w="3594" w:type="dxa"/>
          </w:tcPr>
          <w:p w:rsidR="00B83890" w:rsidRPr="003921AF" w:rsidRDefault="00B83890" w:rsidP="006E6DC8">
            <w:pPr>
              <w:keepNext w:val="0"/>
              <w:widowControl w:val="0"/>
              <w:rPr>
                <w:rFonts w:cs="Arial"/>
              </w:rPr>
            </w:pPr>
            <w:r w:rsidRPr="003921AF">
              <w:rPr>
                <w:rFonts w:cs="Arial"/>
              </w:rPr>
              <w:t>2</w:t>
            </w:r>
          </w:p>
        </w:tc>
      </w:tr>
      <w:tr w:rsidR="00B83890" w:rsidRPr="003921AF" w:rsidTr="006E6DC8">
        <w:tc>
          <w:tcPr>
            <w:tcW w:w="4928" w:type="dxa"/>
          </w:tcPr>
          <w:p w:rsidR="00B83890" w:rsidRPr="003921AF" w:rsidRDefault="00B83890" w:rsidP="006E6DC8">
            <w:pPr>
              <w:keepNext w:val="0"/>
              <w:widowControl w:val="0"/>
              <w:rPr>
                <w:rFonts w:cs="Arial"/>
                <w:bCs/>
                <w:iCs/>
              </w:rPr>
            </w:pPr>
            <w:r w:rsidRPr="003921AF">
              <w:rPr>
                <w:rFonts w:cs="Arial"/>
                <w:bCs/>
                <w:iCs/>
              </w:rPr>
              <w:t>Mr Colin Golvan SC</w:t>
            </w:r>
          </w:p>
        </w:tc>
        <w:tc>
          <w:tcPr>
            <w:tcW w:w="3594" w:type="dxa"/>
          </w:tcPr>
          <w:p w:rsidR="00B83890" w:rsidRPr="003921AF" w:rsidRDefault="00B83890" w:rsidP="006E6DC8">
            <w:pPr>
              <w:keepNext w:val="0"/>
              <w:widowControl w:val="0"/>
              <w:rPr>
                <w:rFonts w:cs="Arial"/>
              </w:rPr>
            </w:pPr>
            <w:r w:rsidRPr="003921AF">
              <w:rPr>
                <w:rFonts w:cs="Arial"/>
              </w:rPr>
              <w:t>3</w:t>
            </w:r>
          </w:p>
        </w:tc>
      </w:tr>
      <w:tr w:rsidR="00B83890" w:rsidRPr="003921AF" w:rsidTr="006E6DC8">
        <w:tc>
          <w:tcPr>
            <w:tcW w:w="4928" w:type="dxa"/>
          </w:tcPr>
          <w:p w:rsidR="00B83890" w:rsidRPr="003921AF" w:rsidRDefault="00B83890" w:rsidP="006E6DC8">
            <w:pPr>
              <w:keepNext w:val="0"/>
              <w:widowControl w:val="0"/>
              <w:rPr>
                <w:rFonts w:cs="Arial"/>
                <w:bCs/>
                <w:iCs/>
              </w:rPr>
            </w:pPr>
            <w:r w:rsidRPr="003921AF">
              <w:rPr>
                <w:rFonts w:cs="Arial"/>
                <w:bCs/>
                <w:iCs/>
              </w:rPr>
              <w:t>Dr J. Patrick Greene</w:t>
            </w:r>
          </w:p>
        </w:tc>
        <w:tc>
          <w:tcPr>
            <w:tcW w:w="3594" w:type="dxa"/>
          </w:tcPr>
          <w:p w:rsidR="00B83890" w:rsidRPr="003921AF" w:rsidRDefault="00B83890" w:rsidP="006E6DC8">
            <w:pPr>
              <w:keepNext w:val="0"/>
              <w:widowControl w:val="0"/>
              <w:rPr>
                <w:rFonts w:cs="Arial"/>
              </w:rPr>
            </w:pPr>
            <w:r w:rsidRPr="003921AF">
              <w:rPr>
                <w:rFonts w:cs="Arial"/>
              </w:rPr>
              <w:t>3</w:t>
            </w:r>
          </w:p>
        </w:tc>
      </w:tr>
      <w:tr w:rsidR="00B83890" w:rsidRPr="003921AF" w:rsidTr="006E6DC8">
        <w:tc>
          <w:tcPr>
            <w:tcW w:w="4928" w:type="dxa"/>
          </w:tcPr>
          <w:p w:rsidR="00B83890" w:rsidRPr="003921AF" w:rsidRDefault="00B83890" w:rsidP="006E6DC8">
            <w:pPr>
              <w:keepNext w:val="0"/>
              <w:widowControl w:val="0"/>
              <w:rPr>
                <w:rFonts w:cs="Arial"/>
                <w:bCs/>
                <w:iCs/>
              </w:rPr>
            </w:pPr>
            <w:r w:rsidRPr="003921AF">
              <w:rPr>
                <w:rFonts w:cs="Arial"/>
                <w:bCs/>
                <w:iCs/>
              </w:rPr>
              <w:t>Ms Gail Harradine</w:t>
            </w:r>
          </w:p>
        </w:tc>
        <w:tc>
          <w:tcPr>
            <w:tcW w:w="3594" w:type="dxa"/>
          </w:tcPr>
          <w:p w:rsidR="00B83890" w:rsidRPr="003921AF" w:rsidRDefault="00B83890" w:rsidP="006E6DC8">
            <w:pPr>
              <w:keepNext w:val="0"/>
              <w:widowControl w:val="0"/>
              <w:rPr>
                <w:rFonts w:cs="Arial"/>
              </w:rPr>
            </w:pPr>
            <w:r w:rsidRPr="003921AF">
              <w:rPr>
                <w:rFonts w:cs="Arial"/>
              </w:rPr>
              <w:t>3</w:t>
            </w:r>
          </w:p>
        </w:tc>
      </w:tr>
      <w:tr w:rsidR="00B83890" w:rsidRPr="003921AF" w:rsidTr="006E6DC8">
        <w:tc>
          <w:tcPr>
            <w:tcW w:w="4928" w:type="dxa"/>
          </w:tcPr>
          <w:p w:rsidR="00B83890" w:rsidRPr="003921AF" w:rsidRDefault="00B83890" w:rsidP="006E6DC8">
            <w:pPr>
              <w:keepNext w:val="0"/>
              <w:widowControl w:val="0"/>
              <w:rPr>
                <w:rFonts w:cs="Arial"/>
                <w:bCs/>
                <w:iCs/>
              </w:rPr>
            </w:pPr>
            <w:r w:rsidRPr="003921AF">
              <w:rPr>
                <w:rFonts w:cs="Arial"/>
                <w:bCs/>
                <w:iCs/>
              </w:rPr>
              <w:t>Ms Diane Kerr</w:t>
            </w:r>
          </w:p>
        </w:tc>
        <w:tc>
          <w:tcPr>
            <w:tcW w:w="3594" w:type="dxa"/>
          </w:tcPr>
          <w:p w:rsidR="00B83890" w:rsidRPr="003921AF" w:rsidRDefault="00B83890" w:rsidP="006E6DC8">
            <w:pPr>
              <w:keepNext w:val="0"/>
              <w:widowControl w:val="0"/>
              <w:rPr>
                <w:rFonts w:cs="Arial"/>
              </w:rPr>
            </w:pPr>
            <w:r w:rsidRPr="003921AF">
              <w:rPr>
                <w:rFonts w:cs="Arial"/>
              </w:rPr>
              <w:t>2</w:t>
            </w:r>
          </w:p>
        </w:tc>
      </w:tr>
      <w:tr w:rsidR="00B83890" w:rsidRPr="003921AF" w:rsidTr="006E6DC8">
        <w:tc>
          <w:tcPr>
            <w:tcW w:w="4928" w:type="dxa"/>
          </w:tcPr>
          <w:p w:rsidR="00B83890" w:rsidRPr="003921AF" w:rsidRDefault="00B83890" w:rsidP="006E6DC8">
            <w:pPr>
              <w:keepNext w:val="0"/>
              <w:widowControl w:val="0"/>
              <w:rPr>
                <w:rFonts w:cs="Arial"/>
                <w:bCs/>
                <w:iCs/>
              </w:rPr>
            </w:pPr>
            <w:r w:rsidRPr="003921AF">
              <w:rPr>
                <w:rFonts w:cs="Arial"/>
                <w:bCs/>
                <w:iCs/>
              </w:rPr>
              <w:t>Ms Caroline Martin</w:t>
            </w:r>
          </w:p>
        </w:tc>
        <w:tc>
          <w:tcPr>
            <w:tcW w:w="3594" w:type="dxa"/>
          </w:tcPr>
          <w:p w:rsidR="00B83890" w:rsidRPr="003921AF" w:rsidRDefault="00B83890" w:rsidP="006E6DC8">
            <w:pPr>
              <w:keepNext w:val="0"/>
              <w:widowControl w:val="0"/>
              <w:rPr>
                <w:rFonts w:cs="Arial"/>
              </w:rPr>
            </w:pPr>
            <w:r w:rsidRPr="003921AF">
              <w:rPr>
                <w:rFonts w:cs="Arial"/>
              </w:rPr>
              <w:t>3</w:t>
            </w:r>
          </w:p>
        </w:tc>
      </w:tr>
      <w:tr w:rsidR="00B83890" w:rsidRPr="003921AF" w:rsidTr="006E6DC8">
        <w:tc>
          <w:tcPr>
            <w:tcW w:w="4928" w:type="dxa"/>
          </w:tcPr>
          <w:p w:rsidR="00B83890" w:rsidRPr="003921AF" w:rsidRDefault="00B83890" w:rsidP="006E6DC8">
            <w:pPr>
              <w:keepNext w:val="0"/>
              <w:widowControl w:val="0"/>
              <w:rPr>
                <w:rFonts w:cs="Arial"/>
                <w:bCs/>
                <w:iCs/>
              </w:rPr>
            </w:pPr>
            <w:r w:rsidRPr="003921AF">
              <w:rPr>
                <w:rFonts w:cs="Arial"/>
                <w:bCs/>
                <w:iCs/>
              </w:rPr>
              <w:t>Mr Ricky Mullett</w:t>
            </w:r>
          </w:p>
        </w:tc>
        <w:tc>
          <w:tcPr>
            <w:tcW w:w="3594" w:type="dxa"/>
          </w:tcPr>
          <w:p w:rsidR="00B83890" w:rsidRPr="003921AF" w:rsidRDefault="00B83890" w:rsidP="006E6DC8">
            <w:pPr>
              <w:keepNext w:val="0"/>
              <w:widowControl w:val="0"/>
              <w:rPr>
                <w:rFonts w:cs="Arial"/>
              </w:rPr>
            </w:pPr>
            <w:r w:rsidRPr="003921AF">
              <w:rPr>
                <w:rFonts w:cs="Arial"/>
              </w:rPr>
              <w:t>3</w:t>
            </w:r>
          </w:p>
        </w:tc>
      </w:tr>
    </w:tbl>
    <w:p w:rsidR="00B83890" w:rsidRDefault="00B83890" w:rsidP="00B83890">
      <w:pPr>
        <w:keepNext w:val="0"/>
        <w:widowControl w:val="0"/>
      </w:pPr>
    </w:p>
    <w:p w:rsidR="00B83890" w:rsidRDefault="00B83890" w:rsidP="00B83890">
      <w:pPr>
        <w:pStyle w:val="Heading4"/>
        <w:keepNext w:val="0"/>
        <w:widowControl w:val="0"/>
      </w:pPr>
      <w:r w:rsidRPr="005904AB">
        <w:t>Finance Audit and Risk Committee</w:t>
      </w:r>
    </w:p>
    <w:p w:rsidR="00B83890" w:rsidRDefault="00B83890" w:rsidP="00B83890">
      <w:pPr>
        <w:keepNext w:val="0"/>
        <w:widowControl w:val="0"/>
      </w:pPr>
      <w:r w:rsidRPr="005904AB">
        <w:t xml:space="preserve">The committee assists the Board in fulfilling its responsibilities concerning financial reporting, audit activities, accounting and reporting practices, and financial and operational risk management as prescribed by the Act. All members of the Finance, Audit and </w:t>
      </w:r>
      <w:r>
        <w:t>Risk Committee are independent.</w:t>
      </w:r>
    </w:p>
    <w:p w:rsidR="00B83890" w:rsidRDefault="00B83890" w:rsidP="00B83890">
      <w:pPr>
        <w:keepNext w:val="0"/>
        <w:widowControl w:val="0"/>
      </w:pPr>
    </w:p>
    <w:p w:rsidR="00B83890" w:rsidRDefault="00B83890" w:rsidP="00B83890">
      <w:pPr>
        <w:keepNext w:val="0"/>
        <w:widowControl w:val="0"/>
        <w:rPr>
          <w:rFonts w:cs="Arial"/>
        </w:rPr>
      </w:pPr>
      <w:r w:rsidRPr="00374872">
        <w:rPr>
          <w:rFonts w:cs="Arial"/>
        </w:rPr>
        <w:t xml:space="preserve">Number of meetings during the year: </w:t>
      </w:r>
      <w:r>
        <w:rPr>
          <w:rFonts w:cs="Arial"/>
        </w:rPr>
        <w:t>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Finance, Audit and Risk Committee"/>
        <w:tblDescription w:val="Table shows meeting attendance tally for members of the Finance, Audit and Risk Committee in 2012–13."/>
      </w:tblPr>
      <w:tblGrid>
        <w:gridCol w:w="4928"/>
        <w:gridCol w:w="3594"/>
      </w:tblGrid>
      <w:tr w:rsidR="00B83890" w:rsidRPr="00677CB9" w:rsidTr="0093396F">
        <w:trPr>
          <w:tblHeader/>
        </w:trPr>
        <w:tc>
          <w:tcPr>
            <w:tcW w:w="4928" w:type="dxa"/>
          </w:tcPr>
          <w:p w:rsidR="00B83890" w:rsidRDefault="00B83890" w:rsidP="006E6DC8">
            <w:pPr>
              <w:keepNext w:val="0"/>
              <w:widowControl w:val="0"/>
              <w:rPr>
                <w:rFonts w:cs="Arial"/>
                <w:b/>
              </w:rPr>
            </w:pPr>
            <w:r>
              <w:rPr>
                <w:rFonts w:cs="Arial"/>
                <w:b/>
              </w:rPr>
              <w:t>Committee</w:t>
            </w:r>
            <w:r w:rsidRPr="00677CB9">
              <w:rPr>
                <w:rFonts w:cs="Arial"/>
                <w:b/>
              </w:rPr>
              <w:t xml:space="preserve"> Member</w:t>
            </w:r>
          </w:p>
        </w:tc>
        <w:tc>
          <w:tcPr>
            <w:tcW w:w="3594" w:type="dxa"/>
          </w:tcPr>
          <w:p w:rsidR="00B83890" w:rsidRDefault="00B83890" w:rsidP="006E6DC8">
            <w:pPr>
              <w:keepNext w:val="0"/>
              <w:widowControl w:val="0"/>
              <w:rPr>
                <w:rFonts w:cs="Arial"/>
                <w:b/>
              </w:rPr>
            </w:pPr>
            <w:r w:rsidRPr="00677CB9">
              <w:rPr>
                <w:rFonts w:cs="Arial"/>
                <w:b/>
              </w:rPr>
              <w:t>No. of Meetings Attended</w:t>
            </w:r>
          </w:p>
        </w:tc>
      </w:tr>
      <w:tr w:rsidR="00B83890" w:rsidRPr="00677CB9" w:rsidTr="006E6DC8">
        <w:tc>
          <w:tcPr>
            <w:tcW w:w="4928" w:type="dxa"/>
          </w:tcPr>
          <w:p w:rsidR="00B83890" w:rsidRDefault="00B83890" w:rsidP="006E6DC8">
            <w:pPr>
              <w:keepNext w:val="0"/>
              <w:widowControl w:val="0"/>
              <w:rPr>
                <w:rFonts w:cs="Arial"/>
                <w:bCs/>
                <w:iCs/>
              </w:rPr>
            </w:pPr>
            <w:r w:rsidRPr="00CD1E4B">
              <w:rPr>
                <w:rFonts w:cs="Arial"/>
                <w:snapToGrid w:val="0"/>
                <w:color w:val="000000"/>
              </w:rPr>
              <w:t>Mr Michael Perry (Chair)</w:t>
            </w:r>
          </w:p>
        </w:tc>
        <w:tc>
          <w:tcPr>
            <w:tcW w:w="3594" w:type="dxa"/>
          </w:tcPr>
          <w:p w:rsidR="00B83890" w:rsidRDefault="00B83890" w:rsidP="006E6DC8">
            <w:pPr>
              <w:pStyle w:val="BodyTextIndent"/>
              <w:keepNext w:val="0"/>
              <w:widowControl w:val="0"/>
              <w:spacing w:after="0"/>
              <w:ind w:left="0"/>
              <w:rPr>
                <w:rFonts w:cs="Arial"/>
                <w:snapToGrid w:val="0"/>
                <w:color w:val="000000"/>
              </w:rPr>
            </w:pPr>
            <w:r>
              <w:rPr>
                <w:rFonts w:cs="Arial"/>
                <w:snapToGrid w:val="0"/>
                <w:color w:val="000000"/>
              </w:rPr>
              <w:t>6</w:t>
            </w:r>
          </w:p>
        </w:tc>
      </w:tr>
      <w:tr w:rsidR="00B83890" w:rsidRPr="00677CB9" w:rsidTr="006E6DC8">
        <w:tc>
          <w:tcPr>
            <w:tcW w:w="4928" w:type="dxa"/>
          </w:tcPr>
          <w:p w:rsidR="00B83890" w:rsidRDefault="00B83890" w:rsidP="006E6DC8">
            <w:pPr>
              <w:keepNext w:val="0"/>
              <w:widowControl w:val="0"/>
              <w:rPr>
                <w:rFonts w:cs="Arial"/>
                <w:snapToGrid w:val="0"/>
                <w:color w:val="000000"/>
              </w:rPr>
            </w:pPr>
            <w:r>
              <w:rPr>
                <w:rFonts w:cs="Arial"/>
                <w:snapToGrid w:val="0"/>
                <w:color w:val="000000"/>
              </w:rPr>
              <w:t>Ms Sylvia Falzon</w:t>
            </w:r>
          </w:p>
        </w:tc>
        <w:tc>
          <w:tcPr>
            <w:tcW w:w="3594" w:type="dxa"/>
          </w:tcPr>
          <w:p w:rsidR="00B83890" w:rsidRDefault="00B83890" w:rsidP="006E6DC8">
            <w:pPr>
              <w:keepNext w:val="0"/>
              <w:widowControl w:val="0"/>
              <w:rPr>
                <w:rFonts w:cs="Arial"/>
                <w:snapToGrid w:val="0"/>
                <w:color w:val="000000"/>
              </w:rPr>
            </w:pPr>
            <w:r>
              <w:rPr>
                <w:rFonts w:cs="Arial"/>
                <w:snapToGrid w:val="0"/>
                <w:color w:val="000000"/>
              </w:rPr>
              <w:t>6</w:t>
            </w:r>
          </w:p>
        </w:tc>
      </w:tr>
      <w:tr w:rsidR="00B83890" w:rsidRPr="00677CB9" w:rsidTr="006E6DC8">
        <w:tc>
          <w:tcPr>
            <w:tcW w:w="4928" w:type="dxa"/>
          </w:tcPr>
          <w:p w:rsidR="00B83890" w:rsidRDefault="00B83890" w:rsidP="006E6DC8">
            <w:pPr>
              <w:keepNext w:val="0"/>
              <w:widowControl w:val="0"/>
              <w:rPr>
                <w:rFonts w:cs="Arial"/>
                <w:snapToGrid w:val="0"/>
                <w:color w:val="000000"/>
              </w:rPr>
            </w:pPr>
            <w:r>
              <w:rPr>
                <w:rFonts w:cs="Arial"/>
                <w:snapToGrid w:val="0"/>
                <w:color w:val="000000"/>
              </w:rPr>
              <w:t>Mr Wilkin Fon</w:t>
            </w:r>
          </w:p>
        </w:tc>
        <w:tc>
          <w:tcPr>
            <w:tcW w:w="3594" w:type="dxa"/>
          </w:tcPr>
          <w:p w:rsidR="00B83890" w:rsidRDefault="00B83890" w:rsidP="006E6DC8">
            <w:pPr>
              <w:keepNext w:val="0"/>
              <w:widowControl w:val="0"/>
              <w:rPr>
                <w:rFonts w:cs="Arial"/>
                <w:snapToGrid w:val="0"/>
                <w:color w:val="000000"/>
              </w:rPr>
            </w:pPr>
            <w:r>
              <w:rPr>
                <w:rFonts w:cs="Arial"/>
                <w:snapToGrid w:val="0"/>
                <w:color w:val="000000"/>
              </w:rPr>
              <w:t>5</w:t>
            </w:r>
          </w:p>
        </w:tc>
      </w:tr>
      <w:tr w:rsidR="00B83890" w:rsidRPr="00677CB9" w:rsidTr="006E6DC8">
        <w:tc>
          <w:tcPr>
            <w:tcW w:w="4928" w:type="dxa"/>
          </w:tcPr>
          <w:p w:rsidR="00B83890" w:rsidRDefault="00B83890" w:rsidP="006E6DC8">
            <w:pPr>
              <w:keepNext w:val="0"/>
              <w:widowControl w:val="0"/>
              <w:rPr>
                <w:rFonts w:cs="Arial"/>
                <w:bCs/>
                <w:iCs/>
              </w:rPr>
            </w:pPr>
            <w:r w:rsidRPr="00CD1E4B">
              <w:rPr>
                <w:rFonts w:cs="Arial"/>
                <w:snapToGrid w:val="0"/>
                <w:color w:val="000000"/>
              </w:rPr>
              <w:t>Ms Rosemary Foxcroft</w:t>
            </w:r>
          </w:p>
        </w:tc>
        <w:tc>
          <w:tcPr>
            <w:tcW w:w="3594" w:type="dxa"/>
          </w:tcPr>
          <w:p w:rsidR="00B83890" w:rsidRDefault="00B83890" w:rsidP="006E6DC8">
            <w:pPr>
              <w:keepNext w:val="0"/>
              <w:widowControl w:val="0"/>
              <w:rPr>
                <w:rFonts w:cs="Arial"/>
                <w:snapToGrid w:val="0"/>
                <w:color w:val="000000"/>
              </w:rPr>
            </w:pPr>
            <w:r>
              <w:rPr>
                <w:rFonts w:cs="Arial"/>
                <w:snapToGrid w:val="0"/>
                <w:color w:val="000000"/>
              </w:rPr>
              <w:t>5</w:t>
            </w:r>
          </w:p>
        </w:tc>
      </w:tr>
      <w:tr w:rsidR="00B83890" w:rsidRPr="00677CB9" w:rsidTr="006E6DC8">
        <w:tc>
          <w:tcPr>
            <w:tcW w:w="4928" w:type="dxa"/>
          </w:tcPr>
          <w:p w:rsidR="00B83890" w:rsidRDefault="00B83890" w:rsidP="006E6DC8">
            <w:pPr>
              <w:keepNext w:val="0"/>
              <w:widowControl w:val="0"/>
              <w:rPr>
                <w:rFonts w:cs="Arial"/>
                <w:bCs/>
                <w:iCs/>
              </w:rPr>
            </w:pPr>
            <w:r w:rsidRPr="00677CB9">
              <w:rPr>
                <w:rFonts w:cs="Arial"/>
                <w:bCs/>
                <w:iCs/>
              </w:rPr>
              <w:t>Mr Tim Sullivan</w:t>
            </w:r>
          </w:p>
        </w:tc>
        <w:tc>
          <w:tcPr>
            <w:tcW w:w="3594" w:type="dxa"/>
          </w:tcPr>
          <w:p w:rsidR="00B83890" w:rsidRDefault="00B83890" w:rsidP="006E6DC8">
            <w:pPr>
              <w:keepNext w:val="0"/>
              <w:widowControl w:val="0"/>
              <w:rPr>
                <w:rFonts w:cs="Arial"/>
              </w:rPr>
            </w:pPr>
            <w:r>
              <w:rPr>
                <w:rFonts w:cs="Arial"/>
              </w:rPr>
              <w:t>4 (1 as an observer)</w:t>
            </w:r>
          </w:p>
        </w:tc>
      </w:tr>
    </w:tbl>
    <w:p w:rsidR="00B83890" w:rsidRDefault="00B83890" w:rsidP="00B83890">
      <w:pPr>
        <w:keepNext w:val="0"/>
        <w:widowControl w:val="0"/>
        <w:rPr>
          <w:snapToGrid w:val="0"/>
        </w:rPr>
      </w:pPr>
    </w:p>
    <w:p w:rsidR="00B83890" w:rsidRDefault="00B83890" w:rsidP="00B83890">
      <w:pPr>
        <w:pStyle w:val="Heading4"/>
        <w:keepNext w:val="0"/>
        <w:widowControl w:val="0"/>
      </w:pPr>
      <w:r w:rsidRPr="005904AB">
        <w:t>Nominations, Remuneration and Governance Committee</w:t>
      </w:r>
    </w:p>
    <w:p w:rsidR="00B83890" w:rsidRDefault="00B83890" w:rsidP="00B83890">
      <w:pPr>
        <w:keepNext w:val="0"/>
        <w:widowControl w:val="0"/>
      </w:pPr>
      <w:r w:rsidRPr="005904AB">
        <w:t>The committee advises the Board on all staffing and governance matters.</w:t>
      </w:r>
    </w:p>
    <w:p w:rsidR="00B83890" w:rsidRDefault="00B83890" w:rsidP="00B83890">
      <w:pPr>
        <w:keepNext w:val="0"/>
        <w:widowControl w:val="0"/>
      </w:pPr>
    </w:p>
    <w:p w:rsidR="00B83890" w:rsidRDefault="00B83890" w:rsidP="00B83890">
      <w:pPr>
        <w:keepNext w:val="0"/>
        <w:widowControl w:val="0"/>
        <w:rPr>
          <w:rFonts w:cs="Arial"/>
        </w:rPr>
      </w:pPr>
      <w:r w:rsidRPr="00374872">
        <w:rPr>
          <w:rFonts w:cs="Arial"/>
        </w:rPr>
        <w:t xml:space="preserve">Number of meetings during the year: </w:t>
      </w:r>
      <w:r>
        <w:rPr>
          <w:rFonts w:cs="Arial"/>
        </w:rPr>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Nominations, Remuneration and Governance Committee"/>
        <w:tblDescription w:val="Table shows meeting attendance tally for members of the Nominations, Remuneration and Governance Committee in 2012–13."/>
      </w:tblPr>
      <w:tblGrid>
        <w:gridCol w:w="4928"/>
        <w:gridCol w:w="3594"/>
      </w:tblGrid>
      <w:tr w:rsidR="00B83890" w:rsidRPr="00681449" w:rsidTr="0093396F">
        <w:trPr>
          <w:tblHeader/>
        </w:trPr>
        <w:tc>
          <w:tcPr>
            <w:tcW w:w="4928" w:type="dxa"/>
          </w:tcPr>
          <w:p w:rsidR="00B83890" w:rsidRDefault="00B83890" w:rsidP="006E6DC8">
            <w:pPr>
              <w:keepNext w:val="0"/>
              <w:widowControl w:val="0"/>
              <w:rPr>
                <w:rFonts w:cs="Arial"/>
                <w:b/>
              </w:rPr>
            </w:pPr>
            <w:r>
              <w:rPr>
                <w:rFonts w:cs="Arial"/>
                <w:b/>
              </w:rPr>
              <w:t>Committee</w:t>
            </w:r>
            <w:r w:rsidRPr="00681449">
              <w:rPr>
                <w:rFonts w:cs="Arial"/>
                <w:b/>
              </w:rPr>
              <w:t xml:space="preserve"> Member</w:t>
            </w:r>
          </w:p>
        </w:tc>
        <w:tc>
          <w:tcPr>
            <w:tcW w:w="3594" w:type="dxa"/>
          </w:tcPr>
          <w:p w:rsidR="00B83890" w:rsidRDefault="00B83890" w:rsidP="006E6DC8">
            <w:pPr>
              <w:keepNext w:val="0"/>
              <w:widowControl w:val="0"/>
              <w:rPr>
                <w:rFonts w:cs="Arial"/>
                <w:b/>
              </w:rPr>
            </w:pPr>
            <w:r w:rsidRPr="00681449">
              <w:rPr>
                <w:rFonts w:cs="Arial"/>
                <w:b/>
              </w:rPr>
              <w:t>No. of Meetings Attended</w:t>
            </w:r>
          </w:p>
        </w:tc>
      </w:tr>
      <w:tr w:rsidR="00B83890" w:rsidRPr="00E65C9C" w:rsidTr="006E6DC8">
        <w:tc>
          <w:tcPr>
            <w:tcW w:w="4928" w:type="dxa"/>
          </w:tcPr>
          <w:p w:rsidR="00B83890" w:rsidRPr="00E65C9C" w:rsidRDefault="00B83890" w:rsidP="006E6DC8">
            <w:pPr>
              <w:keepNext w:val="0"/>
              <w:widowControl w:val="0"/>
              <w:rPr>
                <w:rFonts w:cs="Arial"/>
                <w:bCs/>
                <w:iCs/>
              </w:rPr>
            </w:pPr>
            <w:r w:rsidRPr="00E65C9C">
              <w:rPr>
                <w:rFonts w:cs="Arial"/>
                <w:bCs/>
                <w:iCs/>
              </w:rPr>
              <w:t>Professor Margaret Gardner AO (Chair)</w:t>
            </w:r>
          </w:p>
        </w:tc>
        <w:tc>
          <w:tcPr>
            <w:tcW w:w="3594" w:type="dxa"/>
          </w:tcPr>
          <w:p w:rsidR="00B83890" w:rsidRPr="00E65C9C" w:rsidRDefault="00B83890" w:rsidP="006E6DC8">
            <w:pPr>
              <w:keepNext w:val="0"/>
              <w:widowControl w:val="0"/>
              <w:rPr>
                <w:rFonts w:cs="Arial"/>
              </w:rPr>
            </w:pPr>
            <w:r>
              <w:rPr>
                <w:rFonts w:cs="Arial"/>
              </w:rPr>
              <w:t>4</w:t>
            </w:r>
          </w:p>
        </w:tc>
      </w:tr>
      <w:tr w:rsidR="00B83890" w:rsidRPr="00E65C9C" w:rsidTr="006E6DC8">
        <w:tc>
          <w:tcPr>
            <w:tcW w:w="4928" w:type="dxa"/>
          </w:tcPr>
          <w:p w:rsidR="00B83890" w:rsidRPr="00E65C9C" w:rsidRDefault="00B83890" w:rsidP="006E6DC8">
            <w:pPr>
              <w:keepNext w:val="0"/>
              <w:widowControl w:val="0"/>
              <w:rPr>
                <w:rFonts w:cs="Arial"/>
                <w:bCs/>
                <w:iCs/>
              </w:rPr>
            </w:pPr>
            <w:r w:rsidRPr="00E65C9C">
              <w:rPr>
                <w:rFonts w:cs="Arial"/>
                <w:bCs/>
                <w:iCs/>
              </w:rPr>
              <w:t>Mr Jim Cousins AO</w:t>
            </w:r>
          </w:p>
        </w:tc>
        <w:tc>
          <w:tcPr>
            <w:tcW w:w="3594" w:type="dxa"/>
          </w:tcPr>
          <w:p w:rsidR="00B83890" w:rsidRPr="00E65C9C" w:rsidRDefault="00B83890" w:rsidP="006E6DC8">
            <w:pPr>
              <w:keepNext w:val="0"/>
              <w:widowControl w:val="0"/>
              <w:rPr>
                <w:rFonts w:cs="Arial"/>
              </w:rPr>
            </w:pPr>
            <w:r>
              <w:rPr>
                <w:rFonts w:cs="Arial"/>
              </w:rPr>
              <w:t>4</w:t>
            </w:r>
          </w:p>
        </w:tc>
      </w:tr>
      <w:tr w:rsidR="00B83890" w:rsidRPr="00E65C9C" w:rsidTr="006E6DC8">
        <w:tc>
          <w:tcPr>
            <w:tcW w:w="4928" w:type="dxa"/>
          </w:tcPr>
          <w:p w:rsidR="00B83890" w:rsidRPr="00E65C9C" w:rsidRDefault="00B83890" w:rsidP="006E6DC8">
            <w:pPr>
              <w:keepNext w:val="0"/>
              <w:widowControl w:val="0"/>
              <w:rPr>
                <w:rFonts w:cs="Arial"/>
                <w:bCs/>
                <w:iCs/>
              </w:rPr>
            </w:pPr>
            <w:r w:rsidRPr="00E65C9C">
              <w:rPr>
                <w:rFonts w:cs="Arial"/>
                <w:bCs/>
                <w:iCs/>
              </w:rPr>
              <w:t>Mr Colin Golvan SC</w:t>
            </w:r>
          </w:p>
        </w:tc>
        <w:tc>
          <w:tcPr>
            <w:tcW w:w="3594" w:type="dxa"/>
          </w:tcPr>
          <w:p w:rsidR="00B83890" w:rsidRPr="00E65C9C" w:rsidRDefault="00B83890" w:rsidP="006E6DC8">
            <w:pPr>
              <w:keepNext w:val="0"/>
              <w:widowControl w:val="0"/>
              <w:rPr>
                <w:rFonts w:cs="Arial"/>
              </w:rPr>
            </w:pPr>
            <w:r>
              <w:rPr>
                <w:rFonts w:cs="Arial"/>
              </w:rPr>
              <w:t>3</w:t>
            </w:r>
          </w:p>
        </w:tc>
      </w:tr>
      <w:tr w:rsidR="00B83890" w:rsidRPr="00E65C9C" w:rsidTr="006E6DC8">
        <w:tc>
          <w:tcPr>
            <w:tcW w:w="4928" w:type="dxa"/>
          </w:tcPr>
          <w:p w:rsidR="00B83890" w:rsidRPr="00E65C9C" w:rsidRDefault="00B83890" w:rsidP="006E6DC8">
            <w:pPr>
              <w:keepNext w:val="0"/>
              <w:widowControl w:val="0"/>
              <w:rPr>
                <w:rFonts w:cs="Arial"/>
                <w:bCs/>
                <w:iCs/>
              </w:rPr>
            </w:pPr>
            <w:r w:rsidRPr="00E65C9C">
              <w:rPr>
                <w:rFonts w:cs="Arial"/>
                <w:bCs/>
                <w:iCs/>
              </w:rPr>
              <w:t>Mr Tim Sullivan</w:t>
            </w:r>
          </w:p>
        </w:tc>
        <w:tc>
          <w:tcPr>
            <w:tcW w:w="3594" w:type="dxa"/>
          </w:tcPr>
          <w:p w:rsidR="00B83890" w:rsidRPr="00E65C9C" w:rsidRDefault="00B83890" w:rsidP="006E6DC8">
            <w:pPr>
              <w:keepNext w:val="0"/>
              <w:widowControl w:val="0"/>
              <w:rPr>
                <w:rFonts w:cs="Arial"/>
              </w:rPr>
            </w:pPr>
            <w:r>
              <w:rPr>
                <w:rFonts w:cs="Arial"/>
              </w:rPr>
              <w:t>3</w:t>
            </w:r>
            <w:r w:rsidRPr="00E65C9C">
              <w:rPr>
                <w:rFonts w:cs="Arial"/>
              </w:rPr>
              <w:t xml:space="preserve"> (1 as an observer)</w:t>
            </w:r>
          </w:p>
        </w:tc>
      </w:tr>
    </w:tbl>
    <w:p w:rsidR="00B83890" w:rsidRPr="00E65C9C" w:rsidRDefault="00B83890" w:rsidP="00B83890">
      <w:pPr>
        <w:keepNext w:val="0"/>
        <w:widowControl w:val="0"/>
      </w:pPr>
    </w:p>
    <w:p w:rsidR="00E1167D" w:rsidRDefault="00E1167D">
      <w:pPr>
        <w:keepNext w:val="0"/>
        <w:spacing w:after="200" w:line="276" w:lineRule="auto"/>
        <w:outlineLvl w:val="9"/>
        <w:rPr>
          <w:b/>
        </w:rPr>
      </w:pPr>
      <w:r>
        <w:br w:type="page"/>
      </w:r>
    </w:p>
    <w:p w:rsidR="00B83890" w:rsidRPr="00E65C9C" w:rsidRDefault="00B83890" w:rsidP="00B83890">
      <w:pPr>
        <w:pStyle w:val="Heading4"/>
        <w:keepNext w:val="0"/>
        <w:widowControl w:val="0"/>
      </w:pPr>
      <w:r w:rsidRPr="00E65C9C">
        <w:lastRenderedPageBreak/>
        <w:t>Research Committee</w:t>
      </w:r>
    </w:p>
    <w:p w:rsidR="00B83890" w:rsidRPr="00E65C9C" w:rsidRDefault="00B83890" w:rsidP="00B83890">
      <w:pPr>
        <w:keepNext w:val="0"/>
        <w:widowControl w:val="0"/>
        <w:rPr>
          <w:snapToGrid w:val="0"/>
        </w:rPr>
      </w:pPr>
      <w:r w:rsidRPr="00E65C9C">
        <w:rPr>
          <w:snapToGrid w:val="0"/>
        </w:rPr>
        <w:t>The committee advises the Board on strategic matters relating to research and collection development</w:t>
      </w:r>
      <w:r>
        <w:rPr>
          <w:snapToGrid w:val="0"/>
        </w:rPr>
        <w:t>,</w:t>
      </w:r>
      <w:r w:rsidRPr="00E65C9C">
        <w:rPr>
          <w:snapToGrid w:val="0"/>
        </w:rPr>
        <w:t xml:space="preserve"> and it oversees the implementation of the Board’s research strategy. The committee oversees the Museums Board of Victoria’s Animal Ethics Committee, which was established in February 2007.</w:t>
      </w:r>
    </w:p>
    <w:p w:rsidR="00B83890" w:rsidRPr="00E65C9C" w:rsidRDefault="00B83890" w:rsidP="00B83890">
      <w:pPr>
        <w:keepNext w:val="0"/>
        <w:widowControl w:val="0"/>
      </w:pPr>
    </w:p>
    <w:p w:rsidR="00B83890" w:rsidRPr="00E65C9C" w:rsidRDefault="00B83890" w:rsidP="00B83890">
      <w:pPr>
        <w:keepNext w:val="0"/>
        <w:widowControl w:val="0"/>
        <w:rPr>
          <w:rFonts w:cs="Arial"/>
        </w:rPr>
      </w:pPr>
      <w:r w:rsidRPr="00E65C9C">
        <w:rPr>
          <w:rFonts w:cs="Arial"/>
        </w:rPr>
        <w:t>Number of meetings during the year: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Research Committee"/>
        <w:tblDescription w:val="Table shows meeting attendance tally for members of the Research Committee in 2012–13."/>
      </w:tblPr>
      <w:tblGrid>
        <w:gridCol w:w="4928"/>
        <w:gridCol w:w="3594"/>
      </w:tblGrid>
      <w:tr w:rsidR="00B83890" w:rsidRPr="00E65C9C" w:rsidTr="00E1167D">
        <w:trPr>
          <w:tblHeader/>
        </w:trPr>
        <w:tc>
          <w:tcPr>
            <w:tcW w:w="4928" w:type="dxa"/>
          </w:tcPr>
          <w:p w:rsidR="00B83890" w:rsidRPr="00E65C9C" w:rsidRDefault="00B83890" w:rsidP="006E6DC8">
            <w:pPr>
              <w:keepNext w:val="0"/>
              <w:widowControl w:val="0"/>
              <w:rPr>
                <w:rFonts w:cs="Arial"/>
                <w:b/>
              </w:rPr>
            </w:pPr>
            <w:r w:rsidRPr="00E65C9C">
              <w:rPr>
                <w:rFonts w:cs="Arial"/>
                <w:b/>
              </w:rPr>
              <w:t>Committee Member</w:t>
            </w:r>
          </w:p>
        </w:tc>
        <w:tc>
          <w:tcPr>
            <w:tcW w:w="3594" w:type="dxa"/>
          </w:tcPr>
          <w:p w:rsidR="00B83890" w:rsidRPr="00E65C9C" w:rsidRDefault="00B83890" w:rsidP="006E6DC8">
            <w:pPr>
              <w:keepNext w:val="0"/>
              <w:widowControl w:val="0"/>
              <w:rPr>
                <w:rFonts w:cs="Arial"/>
                <w:b/>
              </w:rPr>
            </w:pPr>
            <w:r w:rsidRPr="00E65C9C">
              <w:rPr>
                <w:rFonts w:cs="Arial"/>
                <w:b/>
              </w:rPr>
              <w:t>No. of Meetings Attended</w:t>
            </w:r>
          </w:p>
        </w:tc>
      </w:tr>
      <w:tr w:rsidR="00B83890" w:rsidRPr="00E65C9C" w:rsidTr="006E6DC8">
        <w:tc>
          <w:tcPr>
            <w:tcW w:w="4928" w:type="dxa"/>
          </w:tcPr>
          <w:p w:rsidR="00B83890" w:rsidRPr="00E65C9C" w:rsidRDefault="00B83890" w:rsidP="006E6DC8">
            <w:pPr>
              <w:keepNext w:val="0"/>
              <w:widowControl w:val="0"/>
              <w:rPr>
                <w:rFonts w:cs="Arial"/>
              </w:rPr>
            </w:pPr>
            <w:r w:rsidRPr="00E65C9C">
              <w:rPr>
                <w:rFonts w:cs="Arial"/>
              </w:rPr>
              <w:t>Professor Pookong Kee (Chair)</w:t>
            </w:r>
          </w:p>
        </w:tc>
        <w:tc>
          <w:tcPr>
            <w:tcW w:w="3594" w:type="dxa"/>
          </w:tcPr>
          <w:p w:rsidR="00B83890" w:rsidRPr="00E65C9C" w:rsidRDefault="00B83890" w:rsidP="006E6DC8">
            <w:pPr>
              <w:keepNext w:val="0"/>
              <w:widowControl w:val="0"/>
              <w:rPr>
                <w:rFonts w:cs="Arial"/>
              </w:rPr>
            </w:pPr>
            <w:r w:rsidRPr="00E65C9C">
              <w:rPr>
                <w:rFonts w:cs="Arial"/>
              </w:rPr>
              <w:t>3</w:t>
            </w:r>
          </w:p>
        </w:tc>
      </w:tr>
      <w:tr w:rsidR="00B83890" w:rsidRPr="00E65C9C" w:rsidTr="006E6DC8">
        <w:tc>
          <w:tcPr>
            <w:tcW w:w="4928" w:type="dxa"/>
          </w:tcPr>
          <w:p w:rsidR="00B83890" w:rsidRPr="00E65C9C" w:rsidRDefault="00B83890" w:rsidP="006E6DC8">
            <w:pPr>
              <w:keepNext w:val="0"/>
              <w:widowControl w:val="0"/>
              <w:rPr>
                <w:rFonts w:cs="Arial"/>
                <w:bCs/>
                <w:iCs/>
              </w:rPr>
            </w:pPr>
            <w:r w:rsidRPr="00E65C9C">
              <w:rPr>
                <w:rFonts w:cs="Arial"/>
                <w:bCs/>
                <w:iCs/>
              </w:rPr>
              <w:t>Professor Graeme Davison</w:t>
            </w:r>
          </w:p>
        </w:tc>
        <w:tc>
          <w:tcPr>
            <w:tcW w:w="3594" w:type="dxa"/>
          </w:tcPr>
          <w:p w:rsidR="00B83890" w:rsidRPr="00E65C9C" w:rsidRDefault="00B83890" w:rsidP="006E6DC8">
            <w:pPr>
              <w:keepNext w:val="0"/>
              <w:widowControl w:val="0"/>
              <w:rPr>
                <w:rFonts w:cs="Arial"/>
              </w:rPr>
            </w:pPr>
            <w:r w:rsidRPr="00E65C9C">
              <w:rPr>
                <w:rFonts w:cs="Arial"/>
              </w:rPr>
              <w:t>3</w:t>
            </w:r>
          </w:p>
        </w:tc>
      </w:tr>
      <w:tr w:rsidR="00B83890" w:rsidRPr="00E65C9C" w:rsidTr="006E6DC8">
        <w:tc>
          <w:tcPr>
            <w:tcW w:w="4928" w:type="dxa"/>
          </w:tcPr>
          <w:p w:rsidR="00B83890" w:rsidRPr="00E65C9C" w:rsidRDefault="00B83890" w:rsidP="006E6DC8">
            <w:pPr>
              <w:keepNext w:val="0"/>
              <w:widowControl w:val="0"/>
              <w:rPr>
                <w:rFonts w:cs="Arial"/>
                <w:bCs/>
                <w:iCs/>
              </w:rPr>
            </w:pPr>
            <w:r w:rsidRPr="00E65C9C">
              <w:rPr>
                <w:rFonts w:cs="Arial"/>
                <w:bCs/>
                <w:iCs/>
              </w:rPr>
              <w:t>Dr J. Patrick Greene</w:t>
            </w:r>
          </w:p>
        </w:tc>
        <w:tc>
          <w:tcPr>
            <w:tcW w:w="3594" w:type="dxa"/>
          </w:tcPr>
          <w:p w:rsidR="00B83890" w:rsidRPr="00E65C9C" w:rsidRDefault="00B83890" w:rsidP="006E6DC8">
            <w:pPr>
              <w:keepNext w:val="0"/>
              <w:widowControl w:val="0"/>
              <w:rPr>
                <w:rFonts w:cs="Arial"/>
              </w:rPr>
            </w:pPr>
            <w:r w:rsidRPr="00E65C9C">
              <w:rPr>
                <w:rFonts w:cs="Arial"/>
              </w:rPr>
              <w:t>3</w:t>
            </w:r>
          </w:p>
        </w:tc>
      </w:tr>
      <w:tr w:rsidR="00B83890" w:rsidRPr="00E65C9C" w:rsidTr="006E6DC8">
        <w:tc>
          <w:tcPr>
            <w:tcW w:w="4928" w:type="dxa"/>
          </w:tcPr>
          <w:p w:rsidR="00B83890" w:rsidRPr="00E65C9C" w:rsidRDefault="00B83890" w:rsidP="006E6DC8">
            <w:pPr>
              <w:keepNext w:val="0"/>
              <w:widowControl w:val="0"/>
              <w:rPr>
                <w:rFonts w:cs="Arial"/>
                <w:bCs/>
                <w:iCs/>
              </w:rPr>
            </w:pPr>
            <w:r w:rsidRPr="00E65C9C">
              <w:rPr>
                <w:rFonts w:cs="Arial"/>
                <w:bCs/>
                <w:iCs/>
              </w:rPr>
              <w:t>Dr Robin Hirst</w:t>
            </w:r>
          </w:p>
        </w:tc>
        <w:tc>
          <w:tcPr>
            <w:tcW w:w="3594" w:type="dxa"/>
          </w:tcPr>
          <w:p w:rsidR="00B83890" w:rsidRPr="00E65C9C" w:rsidRDefault="00B83890" w:rsidP="006E6DC8">
            <w:pPr>
              <w:keepNext w:val="0"/>
              <w:widowControl w:val="0"/>
              <w:rPr>
                <w:rFonts w:cs="Arial"/>
              </w:rPr>
            </w:pPr>
            <w:r w:rsidRPr="00E65C9C">
              <w:rPr>
                <w:rFonts w:cs="Arial"/>
              </w:rPr>
              <w:t>3</w:t>
            </w:r>
          </w:p>
        </w:tc>
      </w:tr>
      <w:tr w:rsidR="00B83890" w:rsidRPr="00E65C9C" w:rsidTr="006E6DC8">
        <w:tc>
          <w:tcPr>
            <w:tcW w:w="4928" w:type="dxa"/>
          </w:tcPr>
          <w:p w:rsidR="00B83890" w:rsidRPr="00E65C9C" w:rsidRDefault="00B83890" w:rsidP="006E6DC8">
            <w:pPr>
              <w:keepNext w:val="0"/>
              <w:widowControl w:val="0"/>
              <w:rPr>
                <w:rFonts w:cs="Arial"/>
                <w:bCs/>
                <w:iCs/>
              </w:rPr>
            </w:pPr>
            <w:r w:rsidRPr="00E65C9C">
              <w:rPr>
                <w:rFonts w:cs="Arial"/>
                <w:bCs/>
                <w:iCs/>
              </w:rPr>
              <w:t>Professor David Karoly</w:t>
            </w:r>
          </w:p>
        </w:tc>
        <w:tc>
          <w:tcPr>
            <w:tcW w:w="3594" w:type="dxa"/>
          </w:tcPr>
          <w:p w:rsidR="00B83890" w:rsidRPr="00E65C9C" w:rsidRDefault="00B83890" w:rsidP="006E6DC8">
            <w:pPr>
              <w:keepNext w:val="0"/>
              <w:widowControl w:val="0"/>
              <w:rPr>
                <w:rFonts w:cs="Arial"/>
              </w:rPr>
            </w:pPr>
            <w:r w:rsidRPr="00E65C9C">
              <w:rPr>
                <w:rFonts w:cs="Arial"/>
              </w:rPr>
              <w:t>1</w:t>
            </w:r>
          </w:p>
        </w:tc>
      </w:tr>
      <w:tr w:rsidR="00B83890" w:rsidRPr="00E65C9C" w:rsidTr="006E6DC8">
        <w:tc>
          <w:tcPr>
            <w:tcW w:w="4928" w:type="dxa"/>
          </w:tcPr>
          <w:p w:rsidR="00B83890" w:rsidRPr="00E65C9C" w:rsidRDefault="00B83890" w:rsidP="006E6DC8">
            <w:pPr>
              <w:keepNext w:val="0"/>
              <w:widowControl w:val="0"/>
              <w:rPr>
                <w:rFonts w:cs="Arial"/>
                <w:bCs/>
                <w:iCs/>
              </w:rPr>
            </w:pPr>
            <w:r w:rsidRPr="00E65C9C">
              <w:rPr>
                <w:rFonts w:cs="Arial"/>
                <w:bCs/>
                <w:iCs/>
              </w:rPr>
              <w:t>Professor Lynette Russell</w:t>
            </w:r>
          </w:p>
        </w:tc>
        <w:tc>
          <w:tcPr>
            <w:tcW w:w="3594" w:type="dxa"/>
          </w:tcPr>
          <w:p w:rsidR="00B83890" w:rsidRPr="00E65C9C" w:rsidRDefault="00B83890" w:rsidP="006E6DC8">
            <w:pPr>
              <w:keepNext w:val="0"/>
              <w:widowControl w:val="0"/>
              <w:rPr>
                <w:rFonts w:cs="Arial"/>
              </w:rPr>
            </w:pPr>
            <w:r w:rsidRPr="00E65C9C">
              <w:rPr>
                <w:rFonts w:cs="Arial"/>
              </w:rPr>
              <w:t>2</w:t>
            </w:r>
          </w:p>
        </w:tc>
      </w:tr>
      <w:tr w:rsidR="00B83890" w:rsidRPr="00E65C9C" w:rsidTr="006E6DC8">
        <w:tc>
          <w:tcPr>
            <w:tcW w:w="4928" w:type="dxa"/>
          </w:tcPr>
          <w:p w:rsidR="00B83890" w:rsidRPr="00E65C9C" w:rsidRDefault="00B83890" w:rsidP="006E6DC8">
            <w:pPr>
              <w:keepNext w:val="0"/>
              <w:widowControl w:val="0"/>
              <w:rPr>
                <w:rFonts w:cs="Arial"/>
                <w:bCs/>
                <w:iCs/>
              </w:rPr>
            </w:pPr>
            <w:r w:rsidRPr="00E65C9C">
              <w:rPr>
                <w:rFonts w:cs="Arial"/>
                <w:bCs/>
                <w:iCs/>
              </w:rPr>
              <w:t>Professor Alistair Thomson</w:t>
            </w:r>
          </w:p>
        </w:tc>
        <w:tc>
          <w:tcPr>
            <w:tcW w:w="3594" w:type="dxa"/>
          </w:tcPr>
          <w:p w:rsidR="00B83890" w:rsidRPr="00E65C9C" w:rsidRDefault="00B83890" w:rsidP="006E6DC8">
            <w:pPr>
              <w:keepNext w:val="0"/>
              <w:widowControl w:val="0"/>
              <w:rPr>
                <w:rFonts w:cs="Arial"/>
              </w:rPr>
            </w:pPr>
            <w:r w:rsidRPr="00E65C9C">
              <w:rPr>
                <w:rFonts w:cs="Arial"/>
              </w:rPr>
              <w:t>1</w:t>
            </w:r>
          </w:p>
        </w:tc>
      </w:tr>
    </w:tbl>
    <w:p w:rsidR="00B83890" w:rsidRDefault="00B83890" w:rsidP="00B83890">
      <w:pPr>
        <w:keepNext w:val="0"/>
        <w:widowControl w:val="0"/>
        <w:rPr>
          <w:snapToGrid w:val="0"/>
        </w:rPr>
      </w:pPr>
    </w:p>
    <w:p w:rsidR="00B83890" w:rsidRDefault="00B83890" w:rsidP="00B83890">
      <w:pPr>
        <w:keepNext w:val="0"/>
        <w:widowControl w:val="0"/>
        <w:rPr>
          <w:snapToGrid w:val="0"/>
        </w:rPr>
      </w:pPr>
      <w:r w:rsidRPr="005904AB">
        <w:rPr>
          <w:snapToGrid w:val="0"/>
        </w:rPr>
        <w:t>The Museums Board of Victoria is represented on the following committee:</w:t>
      </w:r>
    </w:p>
    <w:p w:rsidR="00B83890" w:rsidRDefault="00B83890" w:rsidP="00B83890">
      <w:pPr>
        <w:keepNext w:val="0"/>
        <w:widowControl w:val="0"/>
        <w:rPr>
          <w:snapToGrid w:val="0"/>
        </w:rPr>
      </w:pPr>
    </w:p>
    <w:p w:rsidR="00B83890" w:rsidRDefault="00B83890" w:rsidP="00B83890">
      <w:pPr>
        <w:pStyle w:val="Heading4"/>
        <w:keepNext w:val="0"/>
        <w:widowControl w:val="0"/>
      </w:pPr>
      <w:r w:rsidRPr="005904AB">
        <w:t>Donald Thomson Collection Administration Committee</w:t>
      </w:r>
    </w:p>
    <w:p w:rsidR="00B83890" w:rsidRDefault="00B83890" w:rsidP="00B83890">
      <w:pPr>
        <w:keepNext w:val="0"/>
        <w:widowControl w:val="0"/>
      </w:pPr>
      <w:r>
        <w:t>This committee was e</w:t>
      </w:r>
      <w:r w:rsidRPr="005904AB">
        <w:t xml:space="preserve">stablished to administer the legal agreement between the University of Melbourne, members of the Thomson family and Museum Victoria for the long-term loan of the Donald Thomson Collection </w:t>
      </w:r>
      <w:r>
        <w:t>to</w:t>
      </w:r>
      <w:r w:rsidRPr="005904AB">
        <w:t xml:space="preserve"> Museum Victoria.</w:t>
      </w:r>
    </w:p>
    <w:p w:rsidR="00B83890" w:rsidRDefault="00B83890" w:rsidP="00B83890">
      <w:pPr>
        <w:keepNext w:val="0"/>
        <w:widowControl w:val="0"/>
      </w:pPr>
    </w:p>
    <w:p w:rsidR="00B83890" w:rsidRDefault="00B83890" w:rsidP="00B83890">
      <w:pPr>
        <w:pStyle w:val="Heading1"/>
        <w:keepNext w:val="0"/>
        <w:widowControl w:val="0"/>
      </w:pPr>
      <w:r w:rsidRPr="00CB64D3">
        <w:br w:type="page"/>
      </w:r>
      <w:r w:rsidRPr="00AC3323">
        <w:lastRenderedPageBreak/>
        <w:t xml:space="preserve">Our Workplace </w:t>
      </w:r>
    </w:p>
    <w:p w:rsidR="00B83890" w:rsidRDefault="00B83890" w:rsidP="00B83890">
      <w:pPr>
        <w:pStyle w:val="Heading2"/>
        <w:keepNext w:val="0"/>
        <w:widowControl w:val="0"/>
      </w:pPr>
    </w:p>
    <w:p w:rsidR="00B83890" w:rsidRDefault="00B83890" w:rsidP="00B83890">
      <w:pPr>
        <w:pStyle w:val="Heading2"/>
        <w:keepNext w:val="0"/>
        <w:widowControl w:val="0"/>
      </w:pPr>
      <w:r w:rsidRPr="006C7C9C">
        <w:t>Organisational Structure</w:t>
      </w:r>
    </w:p>
    <w:p w:rsidR="00B83890" w:rsidRDefault="00B83890" w:rsidP="00B83890">
      <w:pPr>
        <w:keepNext w:val="0"/>
        <w:widowControl w:val="0"/>
      </w:pPr>
    </w:p>
    <w:p w:rsidR="00B83890" w:rsidRDefault="00B83890" w:rsidP="00B83890">
      <w:pPr>
        <w:keepNext w:val="0"/>
        <w:widowControl w:val="0"/>
      </w:pPr>
      <w:r>
        <w:rPr>
          <w:noProof/>
        </w:rPr>
        <w:drawing>
          <wp:inline distT="0" distB="0" distL="0" distR="0" wp14:anchorId="4DBEBC0B" wp14:editId="2940C76B">
            <wp:extent cx="5731510" cy="6566545"/>
            <wp:effectExtent l="0" t="0" r="2540" b="5715"/>
            <wp:docPr id="1" name="Picture 1" descr="This chart shows the organisational structure of Musuem Victoria." title="Organisation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731510" cy="6566545"/>
                    </a:xfrm>
                    <a:prstGeom prst="rect">
                      <a:avLst/>
                    </a:prstGeom>
                    <a:noFill/>
                    <a:ln w="9525">
                      <a:noFill/>
                      <a:miter lim="800000"/>
                      <a:headEnd/>
                      <a:tailEnd/>
                    </a:ln>
                  </pic:spPr>
                </pic:pic>
              </a:graphicData>
            </a:graphic>
          </wp:inline>
        </w:drawing>
      </w:r>
    </w:p>
    <w:p w:rsidR="00B83890" w:rsidRDefault="00B83890" w:rsidP="00B83890">
      <w:pPr>
        <w:pStyle w:val="Heading2"/>
        <w:keepNext w:val="0"/>
        <w:widowControl w:val="0"/>
        <w:sectPr w:rsidR="00B83890" w:rsidSect="006E6DC8">
          <w:pgSz w:w="11906" w:h="16838"/>
          <w:pgMar w:top="1440" w:right="1440" w:bottom="1440" w:left="1440" w:header="720" w:footer="720" w:gutter="0"/>
          <w:cols w:space="720"/>
          <w:docGrid w:linePitch="360"/>
        </w:sectPr>
      </w:pPr>
    </w:p>
    <w:p w:rsidR="00B83890" w:rsidRDefault="00B83890" w:rsidP="00B83890">
      <w:pPr>
        <w:keepNext w:val="0"/>
        <w:outlineLvl w:val="9"/>
        <w:rPr>
          <w:b/>
          <w:sz w:val="32"/>
          <w:szCs w:val="32"/>
        </w:rPr>
      </w:pPr>
      <w:r>
        <w:br w:type="page"/>
      </w:r>
    </w:p>
    <w:p w:rsidR="00B83890" w:rsidRDefault="00B83890" w:rsidP="00B83890">
      <w:pPr>
        <w:pStyle w:val="Heading2"/>
        <w:keepNext w:val="0"/>
        <w:widowControl w:val="0"/>
      </w:pPr>
      <w:r w:rsidRPr="00AE6197">
        <w:lastRenderedPageBreak/>
        <w:t>Staff Profile</w:t>
      </w:r>
    </w:p>
    <w:p w:rsidR="00B83890" w:rsidRPr="000423D2" w:rsidRDefault="00B83890" w:rsidP="00B83890"/>
    <w:tbl>
      <w:tblPr>
        <w:tblW w:w="9073" w:type="dxa"/>
        <w:tblInd w:w="-34" w:type="dxa"/>
        <w:tblBorders>
          <w:bottom w:val="single" w:sz="4" w:space="0" w:color="808080"/>
          <w:insideH w:val="single" w:sz="4" w:space="0" w:color="808080"/>
        </w:tblBorders>
        <w:tblLayout w:type="fixed"/>
        <w:tblLook w:val="0000" w:firstRow="0" w:lastRow="0" w:firstColumn="0" w:lastColumn="0" w:noHBand="0" w:noVBand="0"/>
        <w:tblCaption w:val="Staff Profile"/>
        <w:tblDescription w:val="This table shows the breakdown of staff for 2012–13 and for prior years."/>
      </w:tblPr>
      <w:tblGrid>
        <w:gridCol w:w="1276"/>
        <w:gridCol w:w="1113"/>
        <w:gridCol w:w="1114"/>
        <w:gridCol w:w="1114"/>
        <w:gridCol w:w="1114"/>
        <w:gridCol w:w="1114"/>
        <w:gridCol w:w="1114"/>
        <w:gridCol w:w="1114"/>
      </w:tblGrid>
      <w:tr w:rsidR="00B83890" w:rsidRPr="00CB64D3" w:rsidTr="00E1167D">
        <w:trPr>
          <w:cantSplit/>
          <w:tblHeader/>
        </w:trPr>
        <w:tc>
          <w:tcPr>
            <w:tcW w:w="1276" w:type="dxa"/>
          </w:tcPr>
          <w:p w:rsidR="00B83890" w:rsidRDefault="00B83890" w:rsidP="006E6DC8">
            <w:pPr>
              <w:keepNext w:val="0"/>
              <w:widowControl w:val="0"/>
              <w:rPr>
                <w:rFonts w:cs="Arial"/>
              </w:rPr>
            </w:pPr>
          </w:p>
        </w:tc>
        <w:tc>
          <w:tcPr>
            <w:tcW w:w="3341" w:type="dxa"/>
            <w:gridSpan w:val="3"/>
            <w:tcBorders>
              <w:top w:val="nil"/>
              <w:right w:val="single" w:sz="4" w:space="0" w:color="808080"/>
            </w:tcBorders>
            <w:shd w:val="clear" w:color="auto" w:fill="C0C0C0"/>
          </w:tcPr>
          <w:p w:rsidR="00B83890" w:rsidRDefault="00B83890" w:rsidP="006E6DC8">
            <w:pPr>
              <w:keepNext w:val="0"/>
              <w:widowControl w:val="0"/>
              <w:jc w:val="center"/>
              <w:rPr>
                <w:rFonts w:cs="Arial"/>
              </w:rPr>
            </w:pPr>
            <w:r w:rsidRPr="00900BFB">
              <w:rPr>
                <w:rFonts w:cs="Arial"/>
                <w:b/>
              </w:rPr>
              <w:t>2012–13</w:t>
            </w:r>
          </w:p>
        </w:tc>
        <w:tc>
          <w:tcPr>
            <w:tcW w:w="1114" w:type="dxa"/>
            <w:tcBorders>
              <w:top w:val="nil"/>
              <w:bottom w:val="nil"/>
              <w:right w:val="single" w:sz="4" w:space="0" w:color="808080"/>
            </w:tcBorders>
            <w:shd w:val="pct10" w:color="auto" w:fill="FFFFFF"/>
          </w:tcPr>
          <w:p w:rsidR="00B83890" w:rsidRDefault="00B83890" w:rsidP="006E6DC8">
            <w:pPr>
              <w:keepNext w:val="0"/>
              <w:widowControl w:val="0"/>
              <w:jc w:val="center"/>
              <w:rPr>
                <w:rFonts w:cs="Arial"/>
                <w:b/>
              </w:rPr>
            </w:pPr>
            <w:r>
              <w:rPr>
                <w:rFonts w:cs="Arial"/>
                <w:b/>
              </w:rPr>
              <w:t>2011–12</w:t>
            </w:r>
          </w:p>
        </w:tc>
        <w:tc>
          <w:tcPr>
            <w:tcW w:w="1114" w:type="dxa"/>
            <w:tcBorders>
              <w:top w:val="nil"/>
              <w:left w:val="single" w:sz="4" w:space="0" w:color="808080"/>
              <w:bottom w:val="nil"/>
              <w:right w:val="single" w:sz="4" w:space="0" w:color="808080"/>
            </w:tcBorders>
            <w:shd w:val="pct10" w:color="auto" w:fill="FFFFFF"/>
          </w:tcPr>
          <w:p w:rsidR="00B83890" w:rsidRDefault="00B83890" w:rsidP="006E6DC8">
            <w:pPr>
              <w:keepNext w:val="0"/>
              <w:widowControl w:val="0"/>
              <w:jc w:val="center"/>
              <w:rPr>
                <w:rFonts w:cs="Arial"/>
                <w:b/>
              </w:rPr>
            </w:pPr>
            <w:r>
              <w:rPr>
                <w:rFonts w:cs="Arial"/>
                <w:b/>
              </w:rPr>
              <w:t>2010–11</w:t>
            </w:r>
          </w:p>
        </w:tc>
        <w:tc>
          <w:tcPr>
            <w:tcW w:w="1114" w:type="dxa"/>
            <w:tcBorders>
              <w:top w:val="nil"/>
              <w:left w:val="single" w:sz="4" w:space="0" w:color="808080"/>
              <w:bottom w:val="nil"/>
              <w:right w:val="single" w:sz="4" w:space="0" w:color="808080"/>
            </w:tcBorders>
            <w:shd w:val="pct10" w:color="auto" w:fill="FFFFFF"/>
          </w:tcPr>
          <w:p w:rsidR="00B83890" w:rsidRDefault="00B83890" w:rsidP="006E6DC8">
            <w:pPr>
              <w:keepNext w:val="0"/>
              <w:widowControl w:val="0"/>
              <w:jc w:val="center"/>
              <w:rPr>
                <w:rFonts w:cs="Arial"/>
                <w:b/>
              </w:rPr>
            </w:pPr>
            <w:r>
              <w:rPr>
                <w:rFonts w:cs="Arial"/>
                <w:b/>
              </w:rPr>
              <w:t>2009–10</w:t>
            </w:r>
          </w:p>
        </w:tc>
        <w:tc>
          <w:tcPr>
            <w:tcW w:w="1114" w:type="dxa"/>
            <w:tcBorders>
              <w:top w:val="nil"/>
              <w:left w:val="single" w:sz="4" w:space="0" w:color="808080"/>
              <w:bottom w:val="nil"/>
              <w:right w:val="single" w:sz="4" w:space="0" w:color="808080"/>
            </w:tcBorders>
            <w:shd w:val="pct10" w:color="auto" w:fill="FFFFFF"/>
          </w:tcPr>
          <w:p w:rsidR="00B83890" w:rsidRDefault="00B83890" w:rsidP="006E6DC8">
            <w:pPr>
              <w:keepNext w:val="0"/>
              <w:widowControl w:val="0"/>
              <w:jc w:val="right"/>
              <w:rPr>
                <w:rFonts w:cs="Arial"/>
                <w:b/>
              </w:rPr>
            </w:pPr>
            <w:r>
              <w:rPr>
                <w:rFonts w:cs="Arial"/>
                <w:b/>
              </w:rPr>
              <w:t>2008–09</w:t>
            </w:r>
          </w:p>
        </w:tc>
      </w:tr>
      <w:tr w:rsidR="00B83890" w:rsidRPr="00F41228" w:rsidTr="00E1167D">
        <w:trPr>
          <w:tblHeader/>
        </w:trPr>
        <w:tc>
          <w:tcPr>
            <w:tcW w:w="1276" w:type="dxa"/>
          </w:tcPr>
          <w:p w:rsidR="00B83890" w:rsidRDefault="00B83890" w:rsidP="006E6DC8">
            <w:pPr>
              <w:keepNext w:val="0"/>
              <w:widowControl w:val="0"/>
              <w:rPr>
                <w:rFonts w:cs="Arial"/>
                <w:b/>
              </w:rPr>
            </w:pPr>
          </w:p>
        </w:tc>
        <w:tc>
          <w:tcPr>
            <w:tcW w:w="1113" w:type="dxa"/>
            <w:tcBorders>
              <w:top w:val="single" w:sz="4" w:space="0" w:color="808080"/>
            </w:tcBorders>
            <w:shd w:val="clear" w:color="auto" w:fill="C0C0C0"/>
          </w:tcPr>
          <w:p w:rsidR="00B83890" w:rsidRDefault="00B83890" w:rsidP="006E6DC8">
            <w:pPr>
              <w:keepNext w:val="0"/>
              <w:widowControl w:val="0"/>
              <w:jc w:val="right"/>
              <w:rPr>
                <w:rFonts w:cs="Arial"/>
                <w:b/>
              </w:rPr>
            </w:pPr>
            <w:r w:rsidRPr="00F41228">
              <w:rPr>
                <w:rFonts w:cs="Arial"/>
                <w:b/>
              </w:rPr>
              <w:t>Male</w:t>
            </w:r>
          </w:p>
        </w:tc>
        <w:tc>
          <w:tcPr>
            <w:tcW w:w="1114" w:type="dxa"/>
            <w:tcBorders>
              <w:top w:val="single" w:sz="4" w:space="0" w:color="808080"/>
            </w:tcBorders>
            <w:shd w:val="clear" w:color="auto" w:fill="C0C0C0"/>
          </w:tcPr>
          <w:p w:rsidR="00B83890" w:rsidRDefault="00B83890" w:rsidP="006E6DC8">
            <w:pPr>
              <w:keepNext w:val="0"/>
              <w:widowControl w:val="0"/>
              <w:jc w:val="right"/>
              <w:rPr>
                <w:rFonts w:cs="Arial"/>
                <w:b/>
              </w:rPr>
            </w:pPr>
            <w:r w:rsidRPr="00F41228">
              <w:rPr>
                <w:rFonts w:cs="Arial"/>
                <w:b/>
              </w:rPr>
              <w:t>Female</w:t>
            </w:r>
          </w:p>
        </w:tc>
        <w:tc>
          <w:tcPr>
            <w:tcW w:w="1114" w:type="dxa"/>
            <w:tcBorders>
              <w:top w:val="single" w:sz="4" w:space="0" w:color="808080"/>
              <w:right w:val="single" w:sz="4" w:space="0" w:color="808080"/>
            </w:tcBorders>
            <w:shd w:val="clear" w:color="auto" w:fill="C0C0C0"/>
          </w:tcPr>
          <w:p w:rsidR="00B83890" w:rsidRDefault="00B83890" w:rsidP="006E6DC8">
            <w:pPr>
              <w:keepNext w:val="0"/>
              <w:widowControl w:val="0"/>
              <w:jc w:val="right"/>
              <w:rPr>
                <w:rFonts w:cs="Arial"/>
                <w:b/>
              </w:rPr>
            </w:pPr>
            <w:r>
              <w:rPr>
                <w:rFonts w:cs="Arial"/>
                <w:b/>
              </w:rPr>
              <w:t>Total</w:t>
            </w:r>
          </w:p>
        </w:tc>
        <w:tc>
          <w:tcPr>
            <w:tcW w:w="1114" w:type="dxa"/>
            <w:tcBorders>
              <w:top w:val="nil"/>
              <w:bottom w:val="nil"/>
              <w:right w:val="single" w:sz="4" w:space="0" w:color="808080"/>
            </w:tcBorders>
            <w:shd w:val="pct10" w:color="auto" w:fill="FFFFFF"/>
          </w:tcPr>
          <w:p w:rsidR="00B83890" w:rsidRDefault="00B83890" w:rsidP="006E6DC8">
            <w:pPr>
              <w:keepNext w:val="0"/>
              <w:widowControl w:val="0"/>
              <w:jc w:val="right"/>
              <w:rPr>
                <w:rFonts w:cs="Arial"/>
                <w:b/>
              </w:rPr>
            </w:pPr>
            <w:r>
              <w:rPr>
                <w:rFonts w:cs="Arial"/>
                <w:b/>
              </w:rPr>
              <w:t>Total</w:t>
            </w:r>
          </w:p>
        </w:tc>
        <w:tc>
          <w:tcPr>
            <w:tcW w:w="1114" w:type="dxa"/>
            <w:tcBorders>
              <w:top w:val="nil"/>
              <w:left w:val="single" w:sz="4" w:space="0" w:color="808080"/>
              <w:bottom w:val="nil"/>
              <w:right w:val="single" w:sz="4" w:space="0" w:color="808080"/>
            </w:tcBorders>
            <w:shd w:val="pct10" w:color="auto" w:fill="FFFFFF"/>
          </w:tcPr>
          <w:p w:rsidR="00B83890" w:rsidRDefault="00B83890" w:rsidP="006E6DC8">
            <w:pPr>
              <w:keepNext w:val="0"/>
              <w:widowControl w:val="0"/>
              <w:jc w:val="right"/>
              <w:rPr>
                <w:rFonts w:cs="Arial"/>
                <w:b/>
              </w:rPr>
            </w:pPr>
            <w:r w:rsidRPr="00F41228">
              <w:rPr>
                <w:rFonts w:cs="Arial"/>
                <w:b/>
              </w:rPr>
              <w:t>Total</w:t>
            </w:r>
          </w:p>
        </w:tc>
        <w:tc>
          <w:tcPr>
            <w:tcW w:w="1114" w:type="dxa"/>
            <w:tcBorders>
              <w:top w:val="nil"/>
              <w:left w:val="single" w:sz="4" w:space="0" w:color="808080"/>
              <w:bottom w:val="nil"/>
              <w:right w:val="single" w:sz="4" w:space="0" w:color="808080"/>
            </w:tcBorders>
            <w:shd w:val="pct10" w:color="auto" w:fill="FFFFFF"/>
          </w:tcPr>
          <w:p w:rsidR="00B83890" w:rsidRDefault="00B83890" w:rsidP="006E6DC8">
            <w:pPr>
              <w:keepNext w:val="0"/>
              <w:widowControl w:val="0"/>
              <w:jc w:val="right"/>
              <w:rPr>
                <w:rFonts w:cs="Arial"/>
                <w:b/>
              </w:rPr>
            </w:pPr>
            <w:r w:rsidRPr="00F41228">
              <w:rPr>
                <w:rFonts w:cs="Arial"/>
                <w:b/>
              </w:rPr>
              <w:t>Total</w:t>
            </w:r>
          </w:p>
        </w:tc>
        <w:tc>
          <w:tcPr>
            <w:tcW w:w="1114" w:type="dxa"/>
            <w:tcBorders>
              <w:top w:val="nil"/>
              <w:left w:val="single" w:sz="4" w:space="0" w:color="808080"/>
              <w:bottom w:val="nil"/>
              <w:right w:val="single" w:sz="4" w:space="0" w:color="808080"/>
            </w:tcBorders>
            <w:shd w:val="pct10" w:color="auto" w:fill="FFFFFF"/>
          </w:tcPr>
          <w:p w:rsidR="00B83890" w:rsidRDefault="00B83890" w:rsidP="006E6DC8">
            <w:pPr>
              <w:keepNext w:val="0"/>
              <w:widowControl w:val="0"/>
              <w:jc w:val="right"/>
              <w:rPr>
                <w:rFonts w:cs="Arial"/>
                <w:b/>
              </w:rPr>
            </w:pPr>
            <w:r w:rsidRPr="00F41228">
              <w:rPr>
                <w:rFonts w:cs="Arial"/>
                <w:b/>
              </w:rPr>
              <w:t>Total</w:t>
            </w:r>
          </w:p>
        </w:tc>
      </w:tr>
      <w:tr w:rsidR="00B83890" w:rsidRPr="00CB64D3" w:rsidTr="00D74A18">
        <w:tc>
          <w:tcPr>
            <w:tcW w:w="1276" w:type="dxa"/>
          </w:tcPr>
          <w:p w:rsidR="00B83890" w:rsidRDefault="00B83890" w:rsidP="006E6DC8">
            <w:pPr>
              <w:keepNext w:val="0"/>
              <w:widowControl w:val="0"/>
              <w:rPr>
                <w:rFonts w:cs="Arial"/>
              </w:rPr>
            </w:pPr>
            <w:r w:rsidRPr="00CB64D3">
              <w:rPr>
                <w:rFonts w:cs="Arial"/>
              </w:rPr>
              <w:t>Ongoing</w:t>
            </w:r>
          </w:p>
        </w:tc>
        <w:tc>
          <w:tcPr>
            <w:tcW w:w="1113" w:type="dxa"/>
            <w:tcBorders>
              <w:top w:val="single" w:sz="4" w:space="0" w:color="808080"/>
            </w:tcBorders>
            <w:shd w:val="clear" w:color="auto" w:fill="C0C0C0"/>
          </w:tcPr>
          <w:p w:rsidR="00B83890" w:rsidRDefault="00B83890" w:rsidP="006E6DC8">
            <w:pPr>
              <w:keepNext w:val="0"/>
              <w:widowControl w:val="0"/>
              <w:jc w:val="right"/>
              <w:rPr>
                <w:rFonts w:cs="Arial"/>
              </w:rPr>
            </w:pPr>
            <w:r>
              <w:rPr>
                <w:rFonts w:cs="Arial"/>
              </w:rPr>
              <w:t>178</w:t>
            </w:r>
          </w:p>
        </w:tc>
        <w:tc>
          <w:tcPr>
            <w:tcW w:w="1114" w:type="dxa"/>
            <w:tcBorders>
              <w:top w:val="single" w:sz="4" w:space="0" w:color="808080"/>
            </w:tcBorders>
            <w:shd w:val="clear" w:color="auto" w:fill="C0C0C0"/>
          </w:tcPr>
          <w:p w:rsidR="00B83890" w:rsidRDefault="00B83890" w:rsidP="006E6DC8">
            <w:pPr>
              <w:keepNext w:val="0"/>
              <w:widowControl w:val="0"/>
              <w:jc w:val="right"/>
              <w:rPr>
                <w:rFonts w:cs="Arial"/>
              </w:rPr>
            </w:pPr>
            <w:r>
              <w:rPr>
                <w:rFonts w:cs="Arial"/>
              </w:rPr>
              <w:t>262</w:t>
            </w:r>
          </w:p>
        </w:tc>
        <w:tc>
          <w:tcPr>
            <w:tcW w:w="1114" w:type="dxa"/>
            <w:tcBorders>
              <w:top w:val="single" w:sz="4" w:space="0" w:color="808080"/>
              <w:right w:val="single" w:sz="4" w:space="0" w:color="808080"/>
            </w:tcBorders>
            <w:shd w:val="clear" w:color="auto" w:fill="C0C0C0"/>
          </w:tcPr>
          <w:p w:rsidR="00B83890" w:rsidRDefault="00B83890" w:rsidP="006E6DC8">
            <w:pPr>
              <w:keepNext w:val="0"/>
              <w:widowControl w:val="0"/>
              <w:jc w:val="right"/>
            </w:pPr>
            <w:r>
              <w:t>440</w:t>
            </w:r>
          </w:p>
        </w:tc>
        <w:tc>
          <w:tcPr>
            <w:tcW w:w="1114" w:type="dxa"/>
            <w:tcBorders>
              <w:top w:val="nil"/>
              <w:bottom w:val="nil"/>
              <w:right w:val="single" w:sz="4" w:space="0" w:color="808080"/>
            </w:tcBorders>
            <w:shd w:val="pct10" w:color="auto" w:fill="FFFFFF"/>
          </w:tcPr>
          <w:p w:rsidR="00B83890" w:rsidRDefault="00B83890" w:rsidP="006E6DC8">
            <w:pPr>
              <w:keepNext w:val="0"/>
              <w:widowControl w:val="0"/>
              <w:jc w:val="right"/>
              <w:rPr>
                <w:rFonts w:cs="Arial"/>
              </w:rPr>
            </w:pPr>
            <w:r w:rsidRPr="00BA1289">
              <w:rPr>
                <w:rFonts w:cs="Arial"/>
              </w:rPr>
              <w:t>420</w:t>
            </w:r>
          </w:p>
        </w:tc>
        <w:tc>
          <w:tcPr>
            <w:tcW w:w="1114" w:type="dxa"/>
            <w:tcBorders>
              <w:top w:val="nil"/>
              <w:left w:val="single" w:sz="4" w:space="0" w:color="808080"/>
              <w:bottom w:val="nil"/>
              <w:right w:val="single" w:sz="4" w:space="0" w:color="808080"/>
            </w:tcBorders>
            <w:shd w:val="pct10" w:color="auto" w:fill="FFFFFF"/>
          </w:tcPr>
          <w:p w:rsidR="00B83890" w:rsidRDefault="00B83890" w:rsidP="006E6DC8">
            <w:pPr>
              <w:keepNext w:val="0"/>
              <w:widowControl w:val="0"/>
              <w:jc w:val="right"/>
              <w:rPr>
                <w:rFonts w:cs="Arial"/>
              </w:rPr>
            </w:pPr>
            <w:r w:rsidRPr="00BA1289">
              <w:rPr>
                <w:rFonts w:cs="Arial"/>
              </w:rPr>
              <w:t>445</w:t>
            </w:r>
          </w:p>
        </w:tc>
        <w:tc>
          <w:tcPr>
            <w:tcW w:w="1114" w:type="dxa"/>
            <w:tcBorders>
              <w:top w:val="nil"/>
              <w:left w:val="single" w:sz="4" w:space="0" w:color="808080"/>
              <w:bottom w:val="nil"/>
              <w:right w:val="single" w:sz="4" w:space="0" w:color="808080"/>
            </w:tcBorders>
            <w:shd w:val="pct10" w:color="auto" w:fill="FFFFFF"/>
          </w:tcPr>
          <w:p w:rsidR="00B83890" w:rsidRDefault="00B83890" w:rsidP="006E6DC8">
            <w:pPr>
              <w:keepNext w:val="0"/>
              <w:widowControl w:val="0"/>
              <w:jc w:val="right"/>
              <w:rPr>
                <w:rFonts w:cs="Arial"/>
              </w:rPr>
            </w:pPr>
            <w:r w:rsidRPr="00BA1289">
              <w:rPr>
                <w:rFonts w:cs="Arial"/>
              </w:rPr>
              <w:t>388</w:t>
            </w:r>
          </w:p>
        </w:tc>
        <w:tc>
          <w:tcPr>
            <w:tcW w:w="1114" w:type="dxa"/>
            <w:tcBorders>
              <w:top w:val="nil"/>
              <w:left w:val="single" w:sz="4" w:space="0" w:color="808080"/>
              <w:bottom w:val="nil"/>
              <w:right w:val="single" w:sz="4" w:space="0" w:color="808080"/>
            </w:tcBorders>
            <w:shd w:val="pct10" w:color="auto" w:fill="FFFFFF"/>
          </w:tcPr>
          <w:p w:rsidR="00B83890" w:rsidRDefault="00B83890" w:rsidP="006E6DC8">
            <w:pPr>
              <w:keepNext w:val="0"/>
              <w:widowControl w:val="0"/>
              <w:jc w:val="right"/>
              <w:rPr>
                <w:rFonts w:cs="Arial"/>
              </w:rPr>
            </w:pPr>
            <w:r w:rsidRPr="00BA1289">
              <w:rPr>
                <w:rFonts w:cs="Arial"/>
              </w:rPr>
              <w:t>431</w:t>
            </w:r>
          </w:p>
        </w:tc>
      </w:tr>
      <w:tr w:rsidR="00B83890" w:rsidRPr="00CB64D3" w:rsidTr="00D74A18">
        <w:tc>
          <w:tcPr>
            <w:tcW w:w="1276" w:type="dxa"/>
          </w:tcPr>
          <w:p w:rsidR="00B83890" w:rsidRDefault="00B83890" w:rsidP="006E6DC8">
            <w:pPr>
              <w:keepNext w:val="0"/>
              <w:widowControl w:val="0"/>
              <w:rPr>
                <w:rFonts w:cs="Arial"/>
              </w:rPr>
            </w:pPr>
            <w:r w:rsidRPr="00CB64D3">
              <w:rPr>
                <w:rFonts w:cs="Arial"/>
              </w:rPr>
              <w:t>Fixed</w:t>
            </w:r>
          </w:p>
        </w:tc>
        <w:tc>
          <w:tcPr>
            <w:tcW w:w="1113" w:type="dxa"/>
            <w:tcBorders>
              <w:top w:val="single" w:sz="4" w:space="0" w:color="808080"/>
            </w:tcBorders>
            <w:shd w:val="clear" w:color="auto" w:fill="C0C0C0"/>
          </w:tcPr>
          <w:p w:rsidR="00B83890" w:rsidRDefault="00B83890" w:rsidP="006E6DC8">
            <w:pPr>
              <w:keepNext w:val="0"/>
              <w:widowControl w:val="0"/>
              <w:jc w:val="right"/>
              <w:rPr>
                <w:rFonts w:cs="Arial"/>
              </w:rPr>
            </w:pPr>
            <w:r>
              <w:rPr>
                <w:rFonts w:cs="Arial"/>
              </w:rPr>
              <w:t>29</w:t>
            </w:r>
          </w:p>
        </w:tc>
        <w:tc>
          <w:tcPr>
            <w:tcW w:w="1114" w:type="dxa"/>
            <w:tcBorders>
              <w:top w:val="single" w:sz="4" w:space="0" w:color="808080"/>
            </w:tcBorders>
            <w:shd w:val="clear" w:color="auto" w:fill="C0C0C0"/>
          </w:tcPr>
          <w:p w:rsidR="00B83890" w:rsidRDefault="00B83890" w:rsidP="006E6DC8">
            <w:pPr>
              <w:keepNext w:val="0"/>
              <w:widowControl w:val="0"/>
              <w:jc w:val="right"/>
              <w:rPr>
                <w:rFonts w:cs="Arial"/>
              </w:rPr>
            </w:pPr>
            <w:r>
              <w:rPr>
                <w:rFonts w:cs="Arial"/>
              </w:rPr>
              <w:t>35</w:t>
            </w:r>
          </w:p>
        </w:tc>
        <w:tc>
          <w:tcPr>
            <w:tcW w:w="1114" w:type="dxa"/>
            <w:tcBorders>
              <w:top w:val="single" w:sz="4" w:space="0" w:color="808080"/>
              <w:right w:val="single" w:sz="4" w:space="0" w:color="808080"/>
            </w:tcBorders>
            <w:shd w:val="clear" w:color="auto" w:fill="C0C0C0"/>
          </w:tcPr>
          <w:p w:rsidR="00B83890" w:rsidRDefault="00B83890" w:rsidP="006E6DC8">
            <w:pPr>
              <w:keepNext w:val="0"/>
              <w:widowControl w:val="0"/>
              <w:jc w:val="right"/>
            </w:pPr>
            <w:r>
              <w:t>64</w:t>
            </w:r>
          </w:p>
        </w:tc>
        <w:tc>
          <w:tcPr>
            <w:tcW w:w="1114" w:type="dxa"/>
            <w:tcBorders>
              <w:top w:val="nil"/>
              <w:bottom w:val="nil"/>
              <w:right w:val="single" w:sz="4" w:space="0" w:color="808080"/>
            </w:tcBorders>
            <w:shd w:val="pct10" w:color="auto" w:fill="FFFFFF"/>
          </w:tcPr>
          <w:p w:rsidR="00B83890" w:rsidRDefault="00B83890" w:rsidP="006E6DC8">
            <w:pPr>
              <w:keepNext w:val="0"/>
              <w:widowControl w:val="0"/>
              <w:jc w:val="right"/>
              <w:rPr>
                <w:rFonts w:cs="Arial"/>
              </w:rPr>
            </w:pPr>
            <w:r w:rsidRPr="00BA1289">
              <w:rPr>
                <w:rFonts w:cs="Arial"/>
              </w:rPr>
              <w:t>91</w:t>
            </w:r>
          </w:p>
        </w:tc>
        <w:tc>
          <w:tcPr>
            <w:tcW w:w="1114" w:type="dxa"/>
            <w:tcBorders>
              <w:top w:val="nil"/>
              <w:left w:val="single" w:sz="4" w:space="0" w:color="808080"/>
              <w:bottom w:val="nil"/>
              <w:right w:val="single" w:sz="4" w:space="0" w:color="808080"/>
            </w:tcBorders>
            <w:shd w:val="pct10" w:color="auto" w:fill="FFFFFF"/>
          </w:tcPr>
          <w:p w:rsidR="00B83890" w:rsidRDefault="00B83890" w:rsidP="006E6DC8">
            <w:pPr>
              <w:keepNext w:val="0"/>
              <w:widowControl w:val="0"/>
              <w:jc w:val="right"/>
              <w:rPr>
                <w:rFonts w:cs="Arial"/>
              </w:rPr>
            </w:pPr>
            <w:r w:rsidRPr="00BA1289">
              <w:rPr>
                <w:rFonts w:cs="Arial"/>
              </w:rPr>
              <w:t>194</w:t>
            </w:r>
          </w:p>
        </w:tc>
        <w:tc>
          <w:tcPr>
            <w:tcW w:w="1114" w:type="dxa"/>
            <w:tcBorders>
              <w:top w:val="nil"/>
              <w:left w:val="single" w:sz="4" w:space="0" w:color="808080"/>
              <w:bottom w:val="nil"/>
              <w:right w:val="single" w:sz="4" w:space="0" w:color="808080"/>
            </w:tcBorders>
            <w:shd w:val="pct10" w:color="auto" w:fill="FFFFFF"/>
          </w:tcPr>
          <w:p w:rsidR="00B83890" w:rsidRDefault="00B83890" w:rsidP="006E6DC8">
            <w:pPr>
              <w:keepNext w:val="0"/>
              <w:widowControl w:val="0"/>
              <w:jc w:val="right"/>
              <w:rPr>
                <w:rFonts w:cs="Arial"/>
              </w:rPr>
            </w:pPr>
            <w:r w:rsidRPr="00BA1289">
              <w:rPr>
                <w:rFonts w:cs="Arial"/>
              </w:rPr>
              <w:t>148</w:t>
            </w:r>
          </w:p>
        </w:tc>
        <w:tc>
          <w:tcPr>
            <w:tcW w:w="1114" w:type="dxa"/>
            <w:tcBorders>
              <w:top w:val="nil"/>
              <w:left w:val="single" w:sz="4" w:space="0" w:color="808080"/>
              <w:bottom w:val="nil"/>
              <w:right w:val="single" w:sz="4" w:space="0" w:color="808080"/>
            </w:tcBorders>
            <w:shd w:val="pct10" w:color="auto" w:fill="FFFFFF"/>
          </w:tcPr>
          <w:p w:rsidR="00B83890" w:rsidRDefault="00B83890" w:rsidP="006E6DC8">
            <w:pPr>
              <w:keepNext w:val="0"/>
              <w:widowControl w:val="0"/>
              <w:jc w:val="right"/>
              <w:rPr>
                <w:rFonts w:cs="Arial"/>
              </w:rPr>
            </w:pPr>
            <w:r w:rsidRPr="00BA1289">
              <w:rPr>
                <w:rFonts w:cs="Arial"/>
              </w:rPr>
              <w:t>100</w:t>
            </w:r>
          </w:p>
        </w:tc>
      </w:tr>
      <w:tr w:rsidR="00B83890" w:rsidRPr="00CB64D3" w:rsidTr="00D74A18">
        <w:tc>
          <w:tcPr>
            <w:tcW w:w="1276" w:type="dxa"/>
          </w:tcPr>
          <w:p w:rsidR="00B83890" w:rsidRDefault="00B83890" w:rsidP="006E6DC8">
            <w:pPr>
              <w:keepNext w:val="0"/>
              <w:widowControl w:val="0"/>
              <w:rPr>
                <w:rFonts w:cs="Arial"/>
              </w:rPr>
            </w:pPr>
            <w:r w:rsidRPr="00CB64D3">
              <w:rPr>
                <w:rFonts w:cs="Arial"/>
              </w:rPr>
              <w:t>Casual</w:t>
            </w:r>
          </w:p>
        </w:tc>
        <w:tc>
          <w:tcPr>
            <w:tcW w:w="1113" w:type="dxa"/>
            <w:tcBorders>
              <w:top w:val="single" w:sz="4" w:space="0" w:color="808080"/>
            </w:tcBorders>
            <w:shd w:val="clear" w:color="auto" w:fill="C0C0C0"/>
          </w:tcPr>
          <w:p w:rsidR="00B83890" w:rsidRDefault="00B83890" w:rsidP="006E6DC8">
            <w:pPr>
              <w:keepNext w:val="0"/>
              <w:widowControl w:val="0"/>
              <w:jc w:val="right"/>
              <w:rPr>
                <w:rFonts w:cs="Arial"/>
              </w:rPr>
            </w:pPr>
            <w:r>
              <w:rPr>
                <w:rFonts w:cs="Arial"/>
              </w:rPr>
              <w:t>42</w:t>
            </w:r>
          </w:p>
        </w:tc>
        <w:tc>
          <w:tcPr>
            <w:tcW w:w="1114" w:type="dxa"/>
            <w:tcBorders>
              <w:top w:val="single" w:sz="4" w:space="0" w:color="808080"/>
            </w:tcBorders>
            <w:shd w:val="clear" w:color="auto" w:fill="C0C0C0"/>
          </w:tcPr>
          <w:p w:rsidR="00B83890" w:rsidRDefault="00B83890" w:rsidP="006E6DC8">
            <w:pPr>
              <w:keepNext w:val="0"/>
              <w:widowControl w:val="0"/>
              <w:jc w:val="right"/>
              <w:rPr>
                <w:rFonts w:cs="Arial"/>
              </w:rPr>
            </w:pPr>
            <w:r>
              <w:rPr>
                <w:rFonts w:cs="Arial"/>
              </w:rPr>
              <w:t>77</w:t>
            </w:r>
          </w:p>
        </w:tc>
        <w:tc>
          <w:tcPr>
            <w:tcW w:w="1114" w:type="dxa"/>
            <w:tcBorders>
              <w:top w:val="single" w:sz="4" w:space="0" w:color="808080"/>
              <w:right w:val="single" w:sz="4" w:space="0" w:color="808080"/>
            </w:tcBorders>
            <w:shd w:val="clear" w:color="auto" w:fill="C0C0C0"/>
          </w:tcPr>
          <w:p w:rsidR="00B83890" w:rsidRDefault="00B83890" w:rsidP="006E6DC8">
            <w:pPr>
              <w:keepNext w:val="0"/>
              <w:widowControl w:val="0"/>
              <w:jc w:val="right"/>
            </w:pPr>
            <w:r>
              <w:t>119</w:t>
            </w:r>
          </w:p>
        </w:tc>
        <w:tc>
          <w:tcPr>
            <w:tcW w:w="1114" w:type="dxa"/>
            <w:tcBorders>
              <w:top w:val="nil"/>
              <w:bottom w:val="nil"/>
              <w:right w:val="single" w:sz="4" w:space="0" w:color="808080"/>
            </w:tcBorders>
            <w:shd w:val="pct10" w:color="auto" w:fill="FFFFFF"/>
          </w:tcPr>
          <w:p w:rsidR="00B83890" w:rsidRDefault="00B83890" w:rsidP="006E6DC8">
            <w:pPr>
              <w:keepNext w:val="0"/>
              <w:widowControl w:val="0"/>
              <w:jc w:val="right"/>
              <w:rPr>
                <w:rFonts w:cs="Arial"/>
              </w:rPr>
            </w:pPr>
            <w:r w:rsidRPr="00BA1289">
              <w:rPr>
                <w:rFonts w:cs="Arial"/>
              </w:rPr>
              <w:t>109</w:t>
            </w:r>
          </w:p>
        </w:tc>
        <w:tc>
          <w:tcPr>
            <w:tcW w:w="1114" w:type="dxa"/>
            <w:tcBorders>
              <w:top w:val="nil"/>
              <w:left w:val="single" w:sz="4" w:space="0" w:color="808080"/>
              <w:bottom w:val="nil"/>
              <w:right w:val="single" w:sz="4" w:space="0" w:color="808080"/>
            </w:tcBorders>
            <w:shd w:val="pct10" w:color="auto" w:fill="FFFFFF"/>
          </w:tcPr>
          <w:p w:rsidR="00B83890" w:rsidRDefault="00B83890" w:rsidP="006E6DC8">
            <w:pPr>
              <w:keepNext w:val="0"/>
              <w:widowControl w:val="0"/>
              <w:jc w:val="right"/>
              <w:rPr>
                <w:rFonts w:cs="Arial"/>
              </w:rPr>
            </w:pPr>
            <w:r w:rsidRPr="00BA1289">
              <w:rPr>
                <w:rFonts w:cs="Arial"/>
              </w:rPr>
              <w:t>134</w:t>
            </w:r>
          </w:p>
        </w:tc>
        <w:tc>
          <w:tcPr>
            <w:tcW w:w="1114" w:type="dxa"/>
            <w:tcBorders>
              <w:top w:val="nil"/>
              <w:left w:val="single" w:sz="4" w:space="0" w:color="808080"/>
              <w:bottom w:val="nil"/>
              <w:right w:val="single" w:sz="4" w:space="0" w:color="808080"/>
            </w:tcBorders>
            <w:shd w:val="pct10" w:color="auto" w:fill="FFFFFF"/>
          </w:tcPr>
          <w:p w:rsidR="00B83890" w:rsidRDefault="00B83890" w:rsidP="006E6DC8">
            <w:pPr>
              <w:keepNext w:val="0"/>
              <w:widowControl w:val="0"/>
              <w:jc w:val="right"/>
              <w:rPr>
                <w:rFonts w:cs="Arial"/>
              </w:rPr>
            </w:pPr>
            <w:r w:rsidRPr="00BA1289">
              <w:rPr>
                <w:rFonts w:cs="Arial"/>
              </w:rPr>
              <w:t>112</w:t>
            </w:r>
          </w:p>
        </w:tc>
        <w:tc>
          <w:tcPr>
            <w:tcW w:w="1114" w:type="dxa"/>
            <w:tcBorders>
              <w:top w:val="nil"/>
              <w:left w:val="single" w:sz="4" w:space="0" w:color="808080"/>
              <w:bottom w:val="nil"/>
              <w:right w:val="single" w:sz="4" w:space="0" w:color="808080"/>
            </w:tcBorders>
            <w:shd w:val="pct10" w:color="auto" w:fill="FFFFFF"/>
          </w:tcPr>
          <w:p w:rsidR="00B83890" w:rsidRDefault="00B83890" w:rsidP="006E6DC8">
            <w:pPr>
              <w:keepNext w:val="0"/>
              <w:widowControl w:val="0"/>
              <w:jc w:val="right"/>
              <w:rPr>
                <w:rFonts w:cs="Arial"/>
              </w:rPr>
            </w:pPr>
            <w:r w:rsidRPr="00BA1289">
              <w:rPr>
                <w:rFonts w:cs="Arial"/>
              </w:rPr>
              <w:t>69</w:t>
            </w:r>
          </w:p>
        </w:tc>
      </w:tr>
      <w:tr w:rsidR="00B83890" w:rsidRPr="00CB64D3" w:rsidTr="00D74A18">
        <w:tc>
          <w:tcPr>
            <w:tcW w:w="1276" w:type="dxa"/>
          </w:tcPr>
          <w:p w:rsidR="00B83890" w:rsidRDefault="00B83890" w:rsidP="006E6DC8">
            <w:pPr>
              <w:keepNext w:val="0"/>
              <w:widowControl w:val="0"/>
              <w:rPr>
                <w:rFonts w:cs="Arial"/>
                <w:b/>
              </w:rPr>
            </w:pPr>
            <w:r w:rsidRPr="00CB64D3">
              <w:rPr>
                <w:rFonts w:cs="Arial"/>
                <w:b/>
              </w:rPr>
              <w:t>Total</w:t>
            </w:r>
          </w:p>
        </w:tc>
        <w:tc>
          <w:tcPr>
            <w:tcW w:w="1113" w:type="dxa"/>
            <w:tcBorders>
              <w:top w:val="single" w:sz="4" w:space="0" w:color="808080"/>
            </w:tcBorders>
            <w:shd w:val="clear" w:color="auto" w:fill="C0C0C0"/>
          </w:tcPr>
          <w:p w:rsidR="00B83890" w:rsidRDefault="00B83890" w:rsidP="006E6DC8">
            <w:pPr>
              <w:keepNext w:val="0"/>
              <w:widowControl w:val="0"/>
              <w:jc w:val="right"/>
              <w:rPr>
                <w:rFonts w:cs="Arial"/>
                <w:b/>
              </w:rPr>
            </w:pPr>
            <w:r>
              <w:rPr>
                <w:rFonts w:cs="Arial"/>
                <w:b/>
              </w:rPr>
              <w:t>249</w:t>
            </w:r>
          </w:p>
        </w:tc>
        <w:tc>
          <w:tcPr>
            <w:tcW w:w="1114" w:type="dxa"/>
            <w:tcBorders>
              <w:top w:val="single" w:sz="4" w:space="0" w:color="808080"/>
            </w:tcBorders>
            <w:shd w:val="clear" w:color="auto" w:fill="C0C0C0"/>
          </w:tcPr>
          <w:p w:rsidR="00B83890" w:rsidRDefault="00B83890" w:rsidP="006E6DC8">
            <w:pPr>
              <w:keepNext w:val="0"/>
              <w:widowControl w:val="0"/>
              <w:jc w:val="right"/>
              <w:rPr>
                <w:rFonts w:cs="Arial"/>
                <w:b/>
              </w:rPr>
            </w:pPr>
            <w:r>
              <w:rPr>
                <w:rFonts w:cs="Arial"/>
                <w:b/>
              </w:rPr>
              <w:t>374</w:t>
            </w:r>
          </w:p>
        </w:tc>
        <w:tc>
          <w:tcPr>
            <w:tcW w:w="1114" w:type="dxa"/>
            <w:tcBorders>
              <w:top w:val="single" w:sz="4" w:space="0" w:color="808080"/>
              <w:right w:val="single" w:sz="4" w:space="0" w:color="808080"/>
            </w:tcBorders>
            <w:shd w:val="clear" w:color="auto" w:fill="C0C0C0"/>
          </w:tcPr>
          <w:p w:rsidR="00B83890" w:rsidRDefault="00B83890" w:rsidP="006E6DC8">
            <w:pPr>
              <w:keepNext w:val="0"/>
              <w:widowControl w:val="0"/>
              <w:jc w:val="right"/>
              <w:rPr>
                <w:b/>
              </w:rPr>
            </w:pPr>
            <w:r>
              <w:rPr>
                <w:b/>
              </w:rPr>
              <w:t>623</w:t>
            </w:r>
          </w:p>
        </w:tc>
        <w:tc>
          <w:tcPr>
            <w:tcW w:w="1114" w:type="dxa"/>
            <w:tcBorders>
              <w:top w:val="nil"/>
              <w:bottom w:val="nil"/>
              <w:right w:val="single" w:sz="4" w:space="0" w:color="808080"/>
            </w:tcBorders>
            <w:shd w:val="pct10" w:color="auto" w:fill="FFFFFF"/>
          </w:tcPr>
          <w:p w:rsidR="00B83890" w:rsidRDefault="00B83890" w:rsidP="006E6DC8">
            <w:pPr>
              <w:keepNext w:val="0"/>
              <w:widowControl w:val="0"/>
              <w:jc w:val="right"/>
              <w:rPr>
                <w:rFonts w:cs="Arial"/>
                <w:b/>
              </w:rPr>
            </w:pPr>
            <w:r w:rsidRPr="00BA1289">
              <w:rPr>
                <w:rFonts w:cs="Arial"/>
                <w:b/>
              </w:rPr>
              <w:t>620</w:t>
            </w:r>
          </w:p>
        </w:tc>
        <w:tc>
          <w:tcPr>
            <w:tcW w:w="1114" w:type="dxa"/>
            <w:tcBorders>
              <w:top w:val="nil"/>
              <w:left w:val="single" w:sz="4" w:space="0" w:color="808080"/>
              <w:bottom w:val="nil"/>
              <w:right w:val="single" w:sz="4" w:space="0" w:color="808080"/>
            </w:tcBorders>
            <w:shd w:val="pct10" w:color="auto" w:fill="FFFFFF"/>
          </w:tcPr>
          <w:p w:rsidR="00B83890" w:rsidRDefault="00B83890" w:rsidP="006E6DC8">
            <w:pPr>
              <w:keepNext w:val="0"/>
              <w:widowControl w:val="0"/>
              <w:jc w:val="right"/>
              <w:rPr>
                <w:rFonts w:cs="Arial"/>
                <w:b/>
              </w:rPr>
            </w:pPr>
            <w:r w:rsidRPr="00BA1289">
              <w:rPr>
                <w:rFonts w:cs="Arial"/>
                <w:b/>
              </w:rPr>
              <w:t>773</w:t>
            </w:r>
          </w:p>
        </w:tc>
        <w:tc>
          <w:tcPr>
            <w:tcW w:w="1114" w:type="dxa"/>
            <w:tcBorders>
              <w:top w:val="nil"/>
              <w:left w:val="single" w:sz="4" w:space="0" w:color="808080"/>
              <w:bottom w:val="nil"/>
              <w:right w:val="single" w:sz="4" w:space="0" w:color="808080"/>
            </w:tcBorders>
            <w:shd w:val="pct10" w:color="auto" w:fill="FFFFFF"/>
          </w:tcPr>
          <w:p w:rsidR="00B83890" w:rsidRDefault="00B83890" w:rsidP="006E6DC8">
            <w:pPr>
              <w:keepNext w:val="0"/>
              <w:widowControl w:val="0"/>
              <w:jc w:val="right"/>
              <w:rPr>
                <w:rFonts w:cs="Arial"/>
                <w:b/>
              </w:rPr>
            </w:pPr>
            <w:r w:rsidRPr="00BA1289">
              <w:rPr>
                <w:rFonts w:cs="Arial"/>
                <w:b/>
              </w:rPr>
              <w:t>648</w:t>
            </w:r>
          </w:p>
        </w:tc>
        <w:tc>
          <w:tcPr>
            <w:tcW w:w="1114" w:type="dxa"/>
            <w:tcBorders>
              <w:top w:val="nil"/>
              <w:left w:val="single" w:sz="4" w:space="0" w:color="808080"/>
              <w:bottom w:val="nil"/>
              <w:right w:val="single" w:sz="4" w:space="0" w:color="808080"/>
            </w:tcBorders>
            <w:shd w:val="pct10" w:color="auto" w:fill="FFFFFF"/>
          </w:tcPr>
          <w:p w:rsidR="00B83890" w:rsidRDefault="00B83890" w:rsidP="006E6DC8">
            <w:pPr>
              <w:keepNext w:val="0"/>
              <w:widowControl w:val="0"/>
              <w:jc w:val="right"/>
              <w:rPr>
                <w:rFonts w:cs="Arial"/>
                <w:b/>
              </w:rPr>
            </w:pPr>
            <w:r w:rsidRPr="00BA1289">
              <w:rPr>
                <w:rFonts w:cs="Arial"/>
                <w:b/>
              </w:rPr>
              <w:t>600</w:t>
            </w:r>
          </w:p>
        </w:tc>
      </w:tr>
      <w:tr w:rsidR="00B83890" w:rsidRPr="00CB64D3" w:rsidTr="00D74A18">
        <w:tc>
          <w:tcPr>
            <w:tcW w:w="1276" w:type="dxa"/>
          </w:tcPr>
          <w:p w:rsidR="00B83890" w:rsidRDefault="00B83890" w:rsidP="006E6DC8">
            <w:pPr>
              <w:keepNext w:val="0"/>
              <w:widowControl w:val="0"/>
              <w:rPr>
                <w:rFonts w:cs="Arial"/>
              </w:rPr>
            </w:pPr>
            <w:r w:rsidRPr="00CB64D3">
              <w:rPr>
                <w:rFonts w:cs="Arial"/>
              </w:rPr>
              <w:t>FTE</w:t>
            </w:r>
            <w:r>
              <w:rPr>
                <w:rFonts w:cs="Arial"/>
              </w:rPr>
              <w:t>*</w:t>
            </w:r>
          </w:p>
        </w:tc>
        <w:tc>
          <w:tcPr>
            <w:tcW w:w="1113" w:type="dxa"/>
            <w:tcBorders>
              <w:top w:val="single" w:sz="4" w:space="0" w:color="808080"/>
            </w:tcBorders>
            <w:shd w:val="clear" w:color="auto" w:fill="C0C0C0"/>
          </w:tcPr>
          <w:p w:rsidR="00B83890" w:rsidRDefault="00B83890" w:rsidP="006E6DC8">
            <w:pPr>
              <w:keepNext w:val="0"/>
              <w:widowControl w:val="0"/>
              <w:jc w:val="right"/>
              <w:rPr>
                <w:rFonts w:cs="Arial"/>
              </w:rPr>
            </w:pPr>
            <w:r>
              <w:rPr>
                <w:rFonts w:cs="Arial"/>
              </w:rPr>
              <w:t>201</w:t>
            </w:r>
          </w:p>
        </w:tc>
        <w:tc>
          <w:tcPr>
            <w:tcW w:w="1114" w:type="dxa"/>
            <w:tcBorders>
              <w:top w:val="single" w:sz="4" w:space="0" w:color="808080"/>
            </w:tcBorders>
            <w:shd w:val="clear" w:color="auto" w:fill="C0C0C0"/>
          </w:tcPr>
          <w:p w:rsidR="00B83890" w:rsidRDefault="00B83890" w:rsidP="006E6DC8">
            <w:pPr>
              <w:keepNext w:val="0"/>
              <w:widowControl w:val="0"/>
              <w:jc w:val="right"/>
              <w:rPr>
                <w:rFonts w:cs="Arial"/>
              </w:rPr>
            </w:pPr>
            <w:r>
              <w:rPr>
                <w:rFonts w:cs="Arial"/>
              </w:rPr>
              <w:t>267</w:t>
            </w:r>
          </w:p>
        </w:tc>
        <w:tc>
          <w:tcPr>
            <w:tcW w:w="1114" w:type="dxa"/>
            <w:tcBorders>
              <w:top w:val="single" w:sz="4" w:space="0" w:color="808080"/>
              <w:right w:val="single" w:sz="4" w:space="0" w:color="808080"/>
            </w:tcBorders>
            <w:shd w:val="clear" w:color="auto" w:fill="C0C0C0"/>
          </w:tcPr>
          <w:p w:rsidR="00B83890" w:rsidRDefault="00B83890" w:rsidP="006E6DC8">
            <w:pPr>
              <w:keepNext w:val="0"/>
              <w:widowControl w:val="0"/>
              <w:jc w:val="right"/>
            </w:pPr>
            <w:r>
              <w:t>468</w:t>
            </w:r>
          </w:p>
        </w:tc>
        <w:tc>
          <w:tcPr>
            <w:tcW w:w="1114" w:type="dxa"/>
            <w:tcBorders>
              <w:top w:val="nil"/>
              <w:right w:val="single" w:sz="4" w:space="0" w:color="808080"/>
            </w:tcBorders>
            <w:shd w:val="pct10" w:color="auto" w:fill="FFFFFF"/>
          </w:tcPr>
          <w:p w:rsidR="00B83890" w:rsidRDefault="00B83890" w:rsidP="006E6DC8">
            <w:pPr>
              <w:keepNext w:val="0"/>
              <w:widowControl w:val="0"/>
              <w:jc w:val="right"/>
              <w:rPr>
                <w:rFonts w:cs="Arial"/>
              </w:rPr>
            </w:pPr>
            <w:r w:rsidRPr="00BA1289">
              <w:rPr>
                <w:rFonts w:cs="Arial"/>
              </w:rPr>
              <w:t>463</w:t>
            </w:r>
          </w:p>
        </w:tc>
        <w:tc>
          <w:tcPr>
            <w:tcW w:w="1114" w:type="dxa"/>
            <w:tcBorders>
              <w:top w:val="nil"/>
              <w:left w:val="single" w:sz="4" w:space="0" w:color="808080"/>
              <w:right w:val="single" w:sz="4" w:space="0" w:color="808080"/>
            </w:tcBorders>
            <w:shd w:val="pct10" w:color="auto" w:fill="FFFFFF"/>
          </w:tcPr>
          <w:p w:rsidR="00B83890" w:rsidRDefault="00B83890" w:rsidP="006E6DC8">
            <w:pPr>
              <w:keepNext w:val="0"/>
              <w:widowControl w:val="0"/>
              <w:jc w:val="right"/>
              <w:rPr>
                <w:rFonts w:cs="Arial"/>
              </w:rPr>
            </w:pPr>
            <w:r w:rsidRPr="00BA1289">
              <w:rPr>
                <w:rFonts w:cs="Arial"/>
              </w:rPr>
              <w:t>549</w:t>
            </w:r>
          </w:p>
        </w:tc>
        <w:tc>
          <w:tcPr>
            <w:tcW w:w="1114" w:type="dxa"/>
            <w:tcBorders>
              <w:top w:val="nil"/>
              <w:left w:val="single" w:sz="4" w:space="0" w:color="808080"/>
              <w:right w:val="single" w:sz="4" w:space="0" w:color="808080"/>
            </w:tcBorders>
            <w:shd w:val="pct10" w:color="auto" w:fill="FFFFFF"/>
          </w:tcPr>
          <w:p w:rsidR="00B83890" w:rsidRDefault="00B83890" w:rsidP="006E6DC8">
            <w:pPr>
              <w:keepNext w:val="0"/>
              <w:widowControl w:val="0"/>
              <w:jc w:val="right"/>
              <w:rPr>
                <w:rFonts w:cs="Arial"/>
              </w:rPr>
            </w:pPr>
            <w:r w:rsidRPr="00BA1289">
              <w:rPr>
                <w:rFonts w:cs="Arial"/>
              </w:rPr>
              <w:t>495</w:t>
            </w:r>
          </w:p>
        </w:tc>
        <w:tc>
          <w:tcPr>
            <w:tcW w:w="1114" w:type="dxa"/>
            <w:tcBorders>
              <w:top w:val="nil"/>
              <w:left w:val="single" w:sz="4" w:space="0" w:color="808080"/>
              <w:right w:val="single" w:sz="4" w:space="0" w:color="808080"/>
            </w:tcBorders>
            <w:shd w:val="pct10" w:color="auto" w:fill="FFFFFF"/>
          </w:tcPr>
          <w:p w:rsidR="00B83890" w:rsidRDefault="00B83890" w:rsidP="006E6DC8">
            <w:pPr>
              <w:keepNext w:val="0"/>
              <w:widowControl w:val="0"/>
              <w:jc w:val="right"/>
              <w:rPr>
                <w:rFonts w:cs="Arial"/>
              </w:rPr>
            </w:pPr>
            <w:r w:rsidRPr="00BA1289">
              <w:rPr>
                <w:rFonts w:cs="Arial"/>
              </w:rPr>
              <w:t>490</w:t>
            </w:r>
          </w:p>
        </w:tc>
      </w:tr>
    </w:tbl>
    <w:p w:rsidR="00B83890" w:rsidRDefault="00B83890" w:rsidP="00B83890">
      <w:pPr>
        <w:keepNext w:val="0"/>
        <w:widowControl w:val="0"/>
      </w:pPr>
    </w:p>
    <w:p w:rsidR="00B83890" w:rsidRDefault="00B83890" w:rsidP="00B83890">
      <w:pPr>
        <w:keepNext w:val="0"/>
        <w:widowControl w:val="0"/>
        <w:rPr>
          <w:b/>
        </w:rPr>
      </w:pPr>
      <w:r w:rsidRPr="00CB64D3">
        <w:t xml:space="preserve">*FTE </w:t>
      </w:r>
      <w:r>
        <w:t xml:space="preserve">= </w:t>
      </w:r>
      <w:r w:rsidRPr="00CB64D3">
        <w:t>Full-time equivalent</w:t>
      </w:r>
    </w:p>
    <w:p w:rsidR="00B83890" w:rsidRDefault="00B83890" w:rsidP="00B83890">
      <w:pPr>
        <w:pStyle w:val="Heading3"/>
        <w:keepNext w:val="0"/>
        <w:widowControl w:val="0"/>
      </w:pPr>
    </w:p>
    <w:p w:rsidR="00B83890" w:rsidRDefault="00B83890" w:rsidP="00B83890">
      <w:pPr>
        <w:keepNext w:val="0"/>
        <w:widowControl w:val="0"/>
        <w:tabs>
          <w:tab w:val="left" w:pos="567"/>
        </w:tabs>
      </w:pPr>
      <w:r>
        <w:t xml:space="preserve">Note: Staffing numbers are as at the last pay cycle in the financial year. </w:t>
      </w:r>
    </w:p>
    <w:p w:rsidR="00B83890" w:rsidRDefault="00B83890" w:rsidP="00B83890">
      <w:pPr>
        <w:keepNext w:val="0"/>
        <w:widowControl w:val="0"/>
        <w:tabs>
          <w:tab w:val="left" w:pos="567"/>
        </w:tabs>
      </w:pPr>
      <w:r>
        <w:tab/>
        <w:t>Employees have been correctly classified in workforce data collections.</w:t>
      </w:r>
    </w:p>
    <w:p w:rsidR="00B83890" w:rsidRDefault="00B83890" w:rsidP="00B83890">
      <w:pPr>
        <w:keepNext w:val="0"/>
        <w:widowControl w:val="0"/>
      </w:pPr>
    </w:p>
    <w:p w:rsidR="00B83890" w:rsidRDefault="00B83890" w:rsidP="00B83890">
      <w:pPr>
        <w:pStyle w:val="Heading2"/>
        <w:keepNext w:val="0"/>
        <w:widowControl w:val="0"/>
      </w:pPr>
      <w:r w:rsidRPr="0095025E">
        <w:t>Staff Development</w:t>
      </w:r>
    </w:p>
    <w:p w:rsidR="00B83890" w:rsidRDefault="00B83890" w:rsidP="00B83890">
      <w:pPr>
        <w:keepNext w:val="0"/>
        <w:widowControl w:val="0"/>
      </w:pPr>
      <w:r>
        <w:t>T</w:t>
      </w:r>
      <w:r w:rsidRPr="007910CB">
        <w:t>he learning and development framework</w:t>
      </w:r>
      <w:r>
        <w:t xml:space="preserve"> introduced in </w:t>
      </w:r>
      <w:r w:rsidRPr="00447A6C">
        <w:t>2011–12</w:t>
      </w:r>
      <w:r>
        <w:t xml:space="preserve"> created three target learning groups—individual contributor, new and emerging leaders and senior leaders—as well </w:t>
      </w:r>
      <w:r w:rsidRPr="00B017D7">
        <w:t>as workplace essentials. Th</w:t>
      </w:r>
      <w:r>
        <w:t>e</w:t>
      </w:r>
      <w:r w:rsidRPr="00B017D7">
        <w:t xml:space="preserve"> framework was expanded in 2012–13,</w:t>
      </w:r>
      <w:r>
        <w:t xml:space="preserve"> </w:t>
      </w:r>
      <w:r w:rsidRPr="00B017D7">
        <w:t>aim</w:t>
      </w:r>
      <w:r>
        <w:t>ed</w:t>
      </w:r>
      <w:r w:rsidRPr="00B017D7">
        <w:t xml:space="preserve"> at aligning</w:t>
      </w:r>
      <w:r>
        <w:t xml:space="preserve"> learning modules to workplace accountabilities </w:t>
      </w:r>
      <w:r w:rsidRPr="007910CB">
        <w:t>to ensure Museum Victoria</w:t>
      </w:r>
      <w:r>
        <w:t xml:space="preserve"> grows its internal competencies, demonstrates outcomes for input and</w:t>
      </w:r>
      <w:r w:rsidRPr="007910CB">
        <w:t xml:space="preserve"> continu</w:t>
      </w:r>
      <w:r>
        <w:t>es</w:t>
      </w:r>
      <w:r w:rsidRPr="007910CB">
        <w:t xml:space="preserve"> to attract and retain skilled employees. </w:t>
      </w:r>
    </w:p>
    <w:p w:rsidR="00B83890" w:rsidRDefault="00B83890" w:rsidP="00B83890">
      <w:pPr>
        <w:keepNext w:val="0"/>
        <w:widowControl w:val="0"/>
      </w:pPr>
    </w:p>
    <w:p w:rsidR="00B83890" w:rsidRDefault="00B83890" w:rsidP="00B83890">
      <w:pPr>
        <w:keepNext w:val="0"/>
        <w:widowControl w:val="0"/>
      </w:pPr>
      <w:r>
        <w:t xml:space="preserve">The learning framework is a response to our dynamic environment and financial challenges, with a focus on developing resilience, strategic awareness and operating efficiencies. New courses introduced during the year included Strategic Decision Making, Leading Organisational Change and Accounting Comes Alive. </w:t>
      </w:r>
    </w:p>
    <w:p w:rsidR="00B83890" w:rsidRDefault="00B83890" w:rsidP="00B83890">
      <w:pPr>
        <w:keepNext w:val="0"/>
        <w:widowControl w:val="0"/>
      </w:pPr>
    </w:p>
    <w:p w:rsidR="00B83890" w:rsidRDefault="00B83890" w:rsidP="00B83890">
      <w:pPr>
        <w:keepNext w:val="0"/>
        <w:widowControl w:val="0"/>
      </w:pPr>
      <w:r>
        <w:t xml:space="preserve">In addition to compliance learning, </w:t>
      </w:r>
      <w:r w:rsidRPr="007910CB">
        <w:t xml:space="preserve">the suite of modules available </w:t>
      </w:r>
      <w:r>
        <w:t xml:space="preserve">to staff </w:t>
      </w:r>
      <w:r w:rsidRPr="007910CB">
        <w:t xml:space="preserve">via e-learning </w:t>
      </w:r>
      <w:r>
        <w:t xml:space="preserve">continues to expand to include programs such as project management, business writing and presentation skills. </w:t>
      </w:r>
    </w:p>
    <w:p w:rsidR="00B83890" w:rsidRDefault="00B83890" w:rsidP="00B83890">
      <w:pPr>
        <w:keepNext w:val="0"/>
        <w:widowControl w:val="0"/>
      </w:pPr>
    </w:p>
    <w:p w:rsidR="00B83890" w:rsidRDefault="00B83890" w:rsidP="00B83890">
      <w:pPr>
        <w:keepNext w:val="0"/>
        <w:widowControl w:val="0"/>
      </w:pPr>
      <w:r>
        <w:t xml:space="preserve">In total, </w:t>
      </w:r>
      <w:r w:rsidRPr="001B0B82">
        <w:t>Museum Victoria offered 26 corporate learning and development sessions, representing 15 unique training programs. Of the programs offered, 42% were in-house and internally facilitated. Additionally, 483 e-learn modules were completed. The face-to-face training sessions were attended by 57% of</w:t>
      </w:r>
      <w:r w:rsidRPr="007910CB">
        <w:t xml:space="preserve"> employees</w:t>
      </w:r>
      <w:r>
        <w:t xml:space="preserve">. </w:t>
      </w:r>
      <w:r w:rsidRPr="007910CB">
        <w:t>The majority of participants rated their level of satisfaction as ‘high’ or ‘very high’.</w:t>
      </w:r>
    </w:p>
    <w:p w:rsidR="00B83890" w:rsidRDefault="00B83890" w:rsidP="00B83890">
      <w:pPr>
        <w:pStyle w:val="Heading3"/>
        <w:keepNext w:val="0"/>
        <w:widowControl w:val="0"/>
      </w:pPr>
    </w:p>
    <w:p w:rsidR="00B83890" w:rsidRDefault="00B83890" w:rsidP="00B83890">
      <w:pPr>
        <w:pStyle w:val="Heading2"/>
        <w:keepNext w:val="0"/>
        <w:widowControl w:val="0"/>
      </w:pPr>
      <w:r w:rsidRPr="001B3DEE">
        <w:t>Employee Relations</w:t>
      </w:r>
    </w:p>
    <w:p w:rsidR="00B83890" w:rsidRDefault="00B83890" w:rsidP="00B83890">
      <w:pPr>
        <w:keepNext w:val="0"/>
        <w:widowControl w:val="0"/>
      </w:pPr>
      <w:r>
        <w:t>Negotiations for t</w:t>
      </w:r>
      <w:r w:rsidRPr="007910CB">
        <w:t>he 20</w:t>
      </w:r>
      <w:r>
        <w:t>12</w:t>
      </w:r>
      <w:r w:rsidRPr="007910CB">
        <w:t xml:space="preserve"> Staff Partnership Agreement (SPA) </w:t>
      </w:r>
      <w:r>
        <w:t>concluded in late 2012, and staff overwhelmingly supported the new agreement. An affirmative vote of 96% of voters was achieved. The new SPA was approved by the Fair Work Commission on 12 February 2013 and became operative immediately</w:t>
      </w:r>
      <w:r w:rsidRPr="007910CB">
        <w:t xml:space="preserve">. </w:t>
      </w:r>
    </w:p>
    <w:p w:rsidR="00B83890" w:rsidRDefault="00B83890" w:rsidP="00B83890">
      <w:pPr>
        <w:keepNext w:val="0"/>
        <w:widowControl w:val="0"/>
      </w:pPr>
    </w:p>
    <w:p w:rsidR="00B83890" w:rsidRDefault="00B83890" w:rsidP="00B83890">
      <w:pPr>
        <w:keepNext w:val="0"/>
        <w:widowControl w:val="0"/>
      </w:pPr>
      <w:r w:rsidRPr="007910CB">
        <w:t xml:space="preserve">Museum Victoria </w:t>
      </w:r>
      <w:r>
        <w:t>maintained</w:t>
      </w:r>
      <w:r w:rsidRPr="007910CB">
        <w:t xml:space="preserve"> an excellent working relationship with the Community and Public Sector Union (CPSU) and union members</w:t>
      </w:r>
      <w:r>
        <w:t xml:space="preserve"> through the SPA negotiations and the finalisation of the restructure, which occurred in mid-2012</w:t>
      </w:r>
      <w:r w:rsidRPr="007910CB">
        <w:t>. Regular CPSU Consultative Committee meetings have continued, as have constructive discussions regarding organisational reviews and exhibition projects. There has been no industrial action.</w:t>
      </w:r>
    </w:p>
    <w:p w:rsidR="00B83890" w:rsidRDefault="00B83890" w:rsidP="00B83890">
      <w:pPr>
        <w:keepNext w:val="0"/>
        <w:widowControl w:val="0"/>
      </w:pPr>
    </w:p>
    <w:p w:rsidR="00B83890" w:rsidRDefault="00B83890" w:rsidP="00B83890">
      <w:pPr>
        <w:keepNext w:val="0"/>
        <w:widowControl w:val="0"/>
      </w:pPr>
      <w:r w:rsidRPr="007910CB">
        <w:t xml:space="preserve">The Staff Consultative Committee (SCC) continued to </w:t>
      </w:r>
      <w:r>
        <w:t>operate</w:t>
      </w:r>
      <w:r w:rsidRPr="007910CB">
        <w:t xml:space="preserve"> </w:t>
      </w:r>
      <w:r>
        <w:t>during</w:t>
      </w:r>
      <w:r w:rsidRPr="007910CB">
        <w:t xml:space="preserve"> 201</w:t>
      </w:r>
      <w:r>
        <w:t>2</w:t>
      </w:r>
      <w:r w:rsidRPr="007910CB">
        <w:t>–1</w:t>
      </w:r>
      <w:r>
        <w:t>3</w:t>
      </w:r>
      <w:r w:rsidRPr="007910CB">
        <w:t xml:space="preserve">, facilitating effective communication between management and staff in relation to </w:t>
      </w:r>
      <w:r w:rsidRPr="007910CB">
        <w:lastRenderedPageBreak/>
        <w:t xml:space="preserve">major issues affecting Museum Victoria. The healthy partnership between management and staff contributes significantly to the success of the organisation. </w:t>
      </w:r>
    </w:p>
    <w:p w:rsidR="00B83890" w:rsidRDefault="00B83890" w:rsidP="00B83890">
      <w:pPr>
        <w:keepNext w:val="0"/>
        <w:widowControl w:val="0"/>
      </w:pPr>
    </w:p>
    <w:p w:rsidR="00B83890" w:rsidRDefault="00B83890" w:rsidP="00B83890">
      <w:pPr>
        <w:pStyle w:val="Heading2"/>
        <w:keepNext w:val="0"/>
        <w:widowControl w:val="0"/>
      </w:pPr>
      <w:r w:rsidRPr="00144AD2">
        <w:t>Values</w:t>
      </w:r>
    </w:p>
    <w:p w:rsidR="00B83890" w:rsidRDefault="00B83890" w:rsidP="00B83890">
      <w:pPr>
        <w:pStyle w:val="Heading3"/>
        <w:keepNext w:val="0"/>
        <w:widowControl w:val="0"/>
      </w:pPr>
      <w:r w:rsidRPr="0095025E">
        <w:t>Leadership</w:t>
      </w:r>
    </w:p>
    <w:p w:rsidR="00B83890" w:rsidRDefault="00B83890" w:rsidP="00B83890">
      <w:pPr>
        <w:keepNext w:val="0"/>
        <w:widowControl w:val="0"/>
      </w:pPr>
      <w:r w:rsidRPr="00583C7F">
        <w:t>We will demonstrate leadership, particularly in the areas of reconciliation, promotion of cultural diversity, communication about the effects of climate change, learning and through the development of our staff.</w:t>
      </w:r>
    </w:p>
    <w:p w:rsidR="00B83890" w:rsidRDefault="00B83890" w:rsidP="00B83890">
      <w:pPr>
        <w:keepNext w:val="0"/>
        <w:widowControl w:val="0"/>
      </w:pPr>
    </w:p>
    <w:p w:rsidR="00B83890" w:rsidRDefault="00B83890" w:rsidP="00B83890">
      <w:pPr>
        <w:pStyle w:val="Heading3"/>
        <w:keepNext w:val="0"/>
        <w:widowControl w:val="0"/>
      </w:pPr>
      <w:r w:rsidRPr="00583C7F">
        <w:t>Respect</w:t>
      </w:r>
    </w:p>
    <w:p w:rsidR="00B83890" w:rsidRDefault="00B83890" w:rsidP="00B83890">
      <w:pPr>
        <w:keepNext w:val="0"/>
        <w:widowControl w:val="0"/>
      </w:pPr>
      <w:r w:rsidRPr="00583C7F">
        <w:t>We will acknowledge and respect the diverse nature of the Victorian community and its views.</w:t>
      </w:r>
      <w:r>
        <w:t xml:space="preserve"> </w:t>
      </w:r>
      <w:r w:rsidRPr="00583C7F">
        <w:t>We will demonstrate respect for the environment by increasing public awareness about the effects of climate change on biodiversity and human societies, and through responsible use of our resources.</w:t>
      </w:r>
      <w:r>
        <w:t xml:space="preserve"> </w:t>
      </w:r>
    </w:p>
    <w:p w:rsidR="00B83890" w:rsidRDefault="00B83890" w:rsidP="00B83890">
      <w:pPr>
        <w:keepNext w:val="0"/>
        <w:widowControl w:val="0"/>
      </w:pPr>
    </w:p>
    <w:p w:rsidR="00B83890" w:rsidRDefault="00B83890" w:rsidP="00B83890">
      <w:pPr>
        <w:pStyle w:val="Heading3"/>
        <w:keepNext w:val="0"/>
        <w:widowControl w:val="0"/>
      </w:pPr>
      <w:r w:rsidRPr="00583C7F">
        <w:t>Reconciliation</w:t>
      </w:r>
    </w:p>
    <w:p w:rsidR="00B83890" w:rsidRDefault="00B83890" w:rsidP="00B83890">
      <w:pPr>
        <w:keepNext w:val="0"/>
        <w:widowControl w:val="0"/>
      </w:pPr>
      <w:r w:rsidRPr="00583C7F">
        <w:t xml:space="preserve">We will build on our strong commitment </w:t>
      </w:r>
      <w:r>
        <w:t xml:space="preserve">to </w:t>
      </w:r>
      <w:r w:rsidRPr="00583C7F">
        <w:t>the achievement of reconciliation between Indigenous and non-Indigenous peoples.</w:t>
      </w:r>
      <w:r>
        <w:t xml:space="preserve"> </w:t>
      </w:r>
      <w:r w:rsidRPr="00583C7F">
        <w:t>By working in partnership with Indigenous communities, we will increase understanding of and respect for Indigenous history, culture and traditions.</w:t>
      </w:r>
      <w:r>
        <w:t xml:space="preserve"> </w:t>
      </w:r>
    </w:p>
    <w:p w:rsidR="00B83890" w:rsidRDefault="00B83890" w:rsidP="00B83890">
      <w:pPr>
        <w:keepNext w:val="0"/>
        <w:widowControl w:val="0"/>
      </w:pPr>
    </w:p>
    <w:p w:rsidR="00B83890" w:rsidRDefault="00B83890" w:rsidP="00B83890">
      <w:pPr>
        <w:pStyle w:val="Heading3"/>
        <w:keepNext w:val="0"/>
        <w:widowControl w:val="0"/>
      </w:pPr>
      <w:r w:rsidRPr="00583C7F">
        <w:t>Human Rights</w:t>
      </w:r>
    </w:p>
    <w:p w:rsidR="00B83890" w:rsidRDefault="00B83890" w:rsidP="00B83890">
      <w:pPr>
        <w:keepNext w:val="0"/>
        <w:widowControl w:val="0"/>
      </w:pPr>
      <w:r w:rsidRPr="00583C7F">
        <w:t>We will embrace the values of fairness, equity and social justice in all we do.</w:t>
      </w:r>
      <w:r>
        <w:t xml:space="preserve"> </w:t>
      </w:r>
      <w:r w:rsidRPr="00583C7F">
        <w:t xml:space="preserve">By acknowledging and acting in accordance with the principles of fundamental human rights, we will contribute to social inclusion for all members of the community. </w:t>
      </w:r>
    </w:p>
    <w:p w:rsidR="00B83890" w:rsidRDefault="00B83890" w:rsidP="00B83890">
      <w:pPr>
        <w:keepNext w:val="0"/>
        <w:widowControl w:val="0"/>
      </w:pPr>
    </w:p>
    <w:p w:rsidR="00B83890" w:rsidRDefault="00B83890" w:rsidP="00B83890">
      <w:pPr>
        <w:pStyle w:val="Heading3"/>
        <w:keepNext w:val="0"/>
        <w:widowControl w:val="0"/>
      </w:pPr>
      <w:r w:rsidRPr="00583C7F">
        <w:t>Responsiveness</w:t>
      </w:r>
    </w:p>
    <w:p w:rsidR="00B83890" w:rsidRDefault="00B83890" w:rsidP="00B83890">
      <w:pPr>
        <w:keepNext w:val="0"/>
        <w:widowControl w:val="0"/>
      </w:pPr>
      <w:r w:rsidRPr="00583C7F">
        <w:t>We will engage with the Victorian community in a spirit of openness to encourage access and participation.</w:t>
      </w:r>
      <w:r>
        <w:t xml:space="preserve"> </w:t>
      </w:r>
      <w:r w:rsidRPr="00583C7F">
        <w:t xml:space="preserve">We </w:t>
      </w:r>
      <w:r w:rsidRPr="00583C7F">
        <w:rPr>
          <w:iCs/>
        </w:rPr>
        <w:t>will deliver high</w:t>
      </w:r>
      <w:r>
        <w:rPr>
          <w:iCs/>
        </w:rPr>
        <w:t>-</w:t>
      </w:r>
      <w:r w:rsidRPr="00583C7F">
        <w:rPr>
          <w:iCs/>
        </w:rPr>
        <w:t>quality services and continually seek opportunities for improvement.</w:t>
      </w:r>
    </w:p>
    <w:p w:rsidR="00B83890" w:rsidRDefault="00B83890" w:rsidP="00B83890">
      <w:pPr>
        <w:keepNext w:val="0"/>
        <w:widowControl w:val="0"/>
      </w:pPr>
    </w:p>
    <w:p w:rsidR="00B83890" w:rsidRDefault="00B83890" w:rsidP="00B83890">
      <w:pPr>
        <w:pStyle w:val="Heading3"/>
        <w:keepNext w:val="0"/>
        <w:widowControl w:val="0"/>
      </w:pPr>
      <w:r w:rsidRPr="00583C7F">
        <w:t>Integrity</w:t>
      </w:r>
    </w:p>
    <w:p w:rsidR="00B83890" w:rsidRDefault="00B83890" w:rsidP="00B83890">
      <w:pPr>
        <w:keepNext w:val="0"/>
        <w:widowControl w:val="0"/>
      </w:pPr>
      <w:r w:rsidRPr="00583C7F">
        <w:t>We will maintain our reputation for trustworthiness and authority by being professional and transparent in our actions and decisions.</w:t>
      </w:r>
      <w:r>
        <w:t xml:space="preserve"> </w:t>
      </w:r>
      <w:r w:rsidRPr="00583C7F">
        <w:t>Our research program will be carried out according to the highest standards of scholarship.</w:t>
      </w:r>
    </w:p>
    <w:p w:rsidR="00B83890" w:rsidRDefault="00B83890" w:rsidP="00B83890">
      <w:pPr>
        <w:keepNext w:val="0"/>
        <w:widowControl w:val="0"/>
      </w:pPr>
    </w:p>
    <w:p w:rsidR="00B83890" w:rsidRDefault="00B83890" w:rsidP="00B83890">
      <w:pPr>
        <w:pStyle w:val="Heading3"/>
        <w:keepNext w:val="0"/>
        <w:widowControl w:val="0"/>
      </w:pPr>
      <w:r w:rsidRPr="00583C7F">
        <w:t>Impartiality</w:t>
      </w:r>
    </w:p>
    <w:p w:rsidR="00B83890" w:rsidRDefault="00B83890" w:rsidP="00B83890">
      <w:pPr>
        <w:keepNext w:val="0"/>
        <w:widowControl w:val="0"/>
      </w:pPr>
      <w:r w:rsidRPr="00583C7F">
        <w:t>Our staff will act in accordance with Museum Victoria’s policies, procedures and strategic directions.</w:t>
      </w:r>
      <w:r>
        <w:t xml:space="preserve"> </w:t>
      </w:r>
      <w:r w:rsidRPr="00583C7F">
        <w:t xml:space="preserve">We will disseminate our knowledge in an equitable manner and take an </w:t>
      </w:r>
      <w:bookmarkStart w:id="12" w:name="OLE_LINK1"/>
      <w:r w:rsidRPr="00583C7F">
        <w:t xml:space="preserve">unbiased </w:t>
      </w:r>
      <w:bookmarkEnd w:id="12"/>
      <w:r w:rsidRPr="00583C7F">
        <w:t>approach in the delivery of information that contributes to public debate.</w:t>
      </w:r>
    </w:p>
    <w:p w:rsidR="00B83890" w:rsidRDefault="00B83890" w:rsidP="00B83890">
      <w:pPr>
        <w:keepNext w:val="0"/>
        <w:widowControl w:val="0"/>
      </w:pPr>
    </w:p>
    <w:p w:rsidR="00B83890" w:rsidRDefault="00B83890" w:rsidP="00B83890">
      <w:pPr>
        <w:pStyle w:val="Heading3"/>
        <w:keepNext w:val="0"/>
        <w:widowControl w:val="0"/>
      </w:pPr>
      <w:r w:rsidRPr="00583C7F">
        <w:t>Accountability</w:t>
      </w:r>
    </w:p>
    <w:p w:rsidR="00B83890" w:rsidRDefault="00B83890" w:rsidP="00B83890">
      <w:pPr>
        <w:keepNext w:val="0"/>
        <w:widowControl w:val="0"/>
      </w:pPr>
      <w:r w:rsidRPr="00583C7F">
        <w:t xml:space="preserve">Our stewardship of the </w:t>
      </w:r>
      <w:r>
        <w:t>S</w:t>
      </w:r>
      <w:r w:rsidRPr="00583C7F">
        <w:t xml:space="preserve">tate </w:t>
      </w:r>
      <w:r>
        <w:t>C</w:t>
      </w:r>
      <w:r w:rsidRPr="00583C7F">
        <w:t>ollection will be undertaken in a manner that preserves and augments this important public inheritance for future generations.</w:t>
      </w:r>
      <w:r>
        <w:t xml:space="preserve"> </w:t>
      </w:r>
      <w:r w:rsidRPr="00583C7F">
        <w:t>We will demonstrate accountability through our service to the community and through efficient and sustainable use of our resources.</w:t>
      </w:r>
    </w:p>
    <w:p w:rsidR="00B83890" w:rsidRDefault="00B83890" w:rsidP="00B83890">
      <w:pPr>
        <w:keepNext w:val="0"/>
        <w:widowControl w:val="0"/>
      </w:pPr>
    </w:p>
    <w:p w:rsidR="00B83890" w:rsidRDefault="00B83890" w:rsidP="00B83890">
      <w:pPr>
        <w:pStyle w:val="Heading2"/>
        <w:keepNext w:val="0"/>
        <w:widowControl w:val="0"/>
      </w:pPr>
      <w:r w:rsidRPr="00FA3C69">
        <w:t xml:space="preserve">Public Sector Values and Employment Principles </w:t>
      </w:r>
    </w:p>
    <w:p w:rsidR="00B83890" w:rsidRDefault="00B83890" w:rsidP="00B83890">
      <w:pPr>
        <w:keepNext w:val="0"/>
        <w:widowControl w:val="0"/>
      </w:pPr>
      <w:r>
        <w:t xml:space="preserve">During the 2012–13 financial year, Museum Victoria complied with the </w:t>
      </w:r>
      <w:r>
        <w:rPr>
          <w:i/>
        </w:rPr>
        <w:t>Public Administration Act 2004</w:t>
      </w:r>
      <w:r>
        <w:t>.</w:t>
      </w:r>
    </w:p>
    <w:p w:rsidR="00B83890" w:rsidRDefault="00B83890" w:rsidP="00B83890">
      <w:pPr>
        <w:pStyle w:val="Footer"/>
        <w:keepNext w:val="0"/>
        <w:widowControl w:val="0"/>
        <w:rPr>
          <w:lang w:val="en-US"/>
        </w:rPr>
      </w:pPr>
    </w:p>
    <w:p w:rsidR="00B83890" w:rsidRDefault="00B83890" w:rsidP="00B83890">
      <w:pPr>
        <w:pStyle w:val="Footer"/>
        <w:keepNext w:val="0"/>
        <w:widowControl w:val="0"/>
        <w:rPr>
          <w:lang w:val="en-US"/>
        </w:rPr>
      </w:pPr>
      <w:r>
        <w:rPr>
          <w:lang w:val="en-US"/>
        </w:rPr>
        <w:t xml:space="preserve">Museum Victoria </w:t>
      </w:r>
      <w:r w:rsidRPr="00331822">
        <w:t>recognises</w:t>
      </w:r>
      <w:r>
        <w:rPr>
          <w:lang w:val="en-US"/>
        </w:rPr>
        <w:t xml:space="preserve"> its obligation to make staff aware of the requirements of </w:t>
      </w:r>
      <w:r>
        <w:rPr>
          <w:lang w:val="en-US"/>
        </w:rPr>
        <w:lastRenderedPageBreak/>
        <w:t>the code of conduct, policies and procedures. Key documents are made available and readily accessible to staff prior to their employment commencing. Our policies and procedures are explained through the induction program and are readily accessible through Museum Victoria’s intranet.</w:t>
      </w:r>
    </w:p>
    <w:p w:rsidR="00B83890" w:rsidRDefault="00B83890" w:rsidP="00B83890">
      <w:pPr>
        <w:pStyle w:val="Heading2"/>
        <w:keepNext w:val="0"/>
        <w:widowControl w:val="0"/>
        <w:rPr>
          <w:sz w:val="22"/>
          <w:szCs w:val="22"/>
        </w:rPr>
      </w:pPr>
    </w:p>
    <w:p w:rsidR="00B83890" w:rsidRDefault="00B83890" w:rsidP="00B83890">
      <w:pPr>
        <w:pStyle w:val="Heading2"/>
        <w:keepNext w:val="0"/>
        <w:widowControl w:val="0"/>
      </w:pPr>
      <w:r w:rsidRPr="00DA2D98">
        <w:t>Health and Safety</w:t>
      </w:r>
    </w:p>
    <w:p w:rsidR="00B83890" w:rsidRDefault="00B83890" w:rsidP="00B83890">
      <w:pPr>
        <w:keepNext w:val="0"/>
        <w:widowControl w:val="0"/>
      </w:pPr>
      <w:r>
        <w:t xml:space="preserve">Museum Victoria continued to apply rigorous standards in managing health and safety across all sites. The health and safety program is managed in accordance with the </w:t>
      </w:r>
      <w:r>
        <w:rPr>
          <w:i/>
        </w:rPr>
        <w:t>Occupational Health and Safety Act 2004</w:t>
      </w:r>
      <w:r>
        <w:t>, the Museums Board of Victoria–approved policy and the Health and Safety Management Plan.</w:t>
      </w:r>
    </w:p>
    <w:p w:rsidR="00B83890" w:rsidRDefault="00B83890" w:rsidP="00B83890">
      <w:pPr>
        <w:keepNext w:val="0"/>
        <w:widowControl w:val="0"/>
      </w:pPr>
    </w:p>
    <w:p w:rsidR="00B83890" w:rsidRDefault="00B83890" w:rsidP="00B83890">
      <w:pPr>
        <w:keepNext w:val="0"/>
        <w:widowControl w:val="0"/>
      </w:pPr>
      <w:r w:rsidRPr="005904AB">
        <w:t xml:space="preserve">Museum Victoria has continued to provide </w:t>
      </w:r>
      <w:r>
        <w:t>health and safety</w:t>
      </w:r>
      <w:r w:rsidRPr="005904AB">
        <w:t xml:space="preserve"> awareness and occupation-specific training to employees and managers. </w:t>
      </w:r>
      <w:r>
        <w:t>Health and safety</w:t>
      </w:r>
      <w:r w:rsidRPr="005904AB">
        <w:t xml:space="preserve"> activities undertaken during the year include:</w:t>
      </w:r>
      <w:r>
        <w:t xml:space="preserve"> </w:t>
      </w:r>
    </w:p>
    <w:p w:rsidR="00B83890" w:rsidRDefault="00B83890" w:rsidP="00C14C5D">
      <w:pPr>
        <w:pStyle w:val="ListParagraph"/>
        <w:keepNext w:val="0"/>
        <w:widowControl w:val="0"/>
        <w:numPr>
          <w:ilvl w:val="0"/>
          <w:numId w:val="15"/>
        </w:numPr>
      </w:pPr>
      <w:r>
        <w:t>development and implementation of a health and safety consultation and reporting process</w:t>
      </w:r>
    </w:p>
    <w:p w:rsidR="00B83890" w:rsidRDefault="00B83890" w:rsidP="00C14C5D">
      <w:pPr>
        <w:pStyle w:val="ListParagraph"/>
        <w:keepNext w:val="0"/>
        <w:widowControl w:val="0"/>
        <w:numPr>
          <w:ilvl w:val="0"/>
          <w:numId w:val="15"/>
        </w:numPr>
      </w:pPr>
      <w:r>
        <w:t>commencement of a project to ensure compliance with legislation and standards relating to management of hazardous substances and dangerous goods</w:t>
      </w:r>
    </w:p>
    <w:p w:rsidR="00B83890" w:rsidRDefault="00B83890" w:rsidP="00C14C5D">
      <w:pPr>
        <w:pStyle w:val="ListParagraph"/>
        <w:keepNext w:val="0"/>
        <w:widowControl w:val="0"/>
        <w:numPr>
          <w:ilvl w:val="0"/>
          <w:numId w:val="15"/>
        </w:numPr>
      </w:pPr>
      <w:r>
        <w:t>a review of first aid coverage across the organisation</w:t>
      </w:r>
    </w:p>
    <w:p w:rsidR="00B83890" w:rsidRDefault="00B83890" w:rsidP="00C14C5D">
      <w:pPr>
        <w:pStyle w:val="ListParagraph"/>
        <w:keepNext w:val="0"/>
        <w:widowControl w:val="0"/>
        <w:numPr>
          <w:ilvl w:val="0"/>
          <w:numId w:val="15"/>
        </w:numPr>
      </w:pPr>
      <w:r>
        <w:t xml:space="preserve">elections and training for health and safety representatives </w:t>
      </w:r>
    </w:p>
    <w:p w:rsidR="00B83890" w:rsidRDefault="00B83890" w:rsidP="00C14C5D">
      <w:pPr>
        <w:pStyle w:val="ListParagraph"/>
        <w:keepNext w:val="0"/>
        <w:widowControl w:val="0"/>
        <w:numPr>
          <w:ilvl w:val="0"/>
          <w:numId w:val="15"/>
        </w:numPr>
      </w:pPr>
      <w:r>
        <w:t>development of asbestos- and lead-management procedures</w:t>
      </w:r>
    </w:p>
    <w:p w:rsidR="00B83890" w:rsidRDefault="00B83890" w:rsidP="00C14C5D">
      <w:pPr>
        <w:pStyle w:val="ListParagraph"/>
        <w:keepNext w:val="0"/>
        <w:widowControl w:val="0"/>
        <w:numPr>
          <w:ilvl w:val="0"/>
          <w:numId w:val="15"/>
        </w:numPr>
      </w:pPr>
      <w:r>
        <w:t>a review of Safe Work Method Statement templates</w:t>
      </w:r>
    </w:p>
    <w:p w:rsidR="00B83890" w:rsidRDefault="00B83890" w:rsidP="00C14C5D">
      <w:pPr>
        <w:pStyle w:val="ListParagraph"/>
        <w:keepNext w:val="0"/>
        <w:widowControl w:val="0"/>
        <w:numPr>
          <w:ilvl w:val="0"/>
          <w:numId w:val="15"/>
        </w:numPr>
      </w:pPr>
      <w:r>
        <w:t>hearing tests for staff and volunteers who use hearing-protection equipment</w:t>
      </w:r>
    </w:p>
    <w:p w:rsidR="00B83890" w:rsidRDefault="00B83890" w:rsidP="00C14C5D">
      <w:pPr>
        <w:pStyle w:val="ListParagraph"/>
        <w:keepNext w:val="0"/>
        <w:widowControl w:val="0"/>
        <w:numPr>
          <w:ilvl w:val="0"/>
          <w:numId w:val="15"/>
        </w:numPr>
      </w:pPr>
      <w:r>
        <w:t>implementation of the WorkSafe Health Checks program for staff</w:t>
      </w:r>
    </w:p>
    <w:p w:rsidR="00B83890" w:rsidRDefault="00B83890" w:rsidP="00C14C5D">
      <w:pPr>
        <w:pStyle w:val="ListParagraph"/>
        <w:keepNext w:val="0"/>
        <w:widowControl w:val="0"/>
        <w:numPr>
          <w:ilvl w:val="0"/>
          <w:numId w:val="15"/>
        </w:numPr>
      </w:pPr>
      <w:r w:rsidRPr="00F75154">
        <w:t xml:space="preserve">regular meetings of the </w:t>
      </w:r>
      <w:r>
        <w:t>Health and Safety Committee to provide advice and direction on safety procedures and practices across all sites.</w:t>
      </w:r>
    </w:p>
    <w:p w:rsidR="00B83890" w:rsidRDefault="00B83890" w:rsidP="00B83890">
      <w:pPr>
        <w:keepNext w:val="0"/>
        <w:widowControl w:val="0"/>
      </w:pPr>
    </w:p>
    <w:p w:rsidR="00B83890" w:rsidRDefault="00B83890" w:rsidP="00B83890">
      <w:pPr>
        <w:pStyle w:val="Heading3"/>
        <w:keepNext w:val="0"/>
        <w:widowControl w:val="0"/>
      </w:pPr>
      <w:r w:rsidRPr="00C07458">
        <w:t>Health and Safety Incidents</w:t>
      </w:r>
    </w:p>
    <w:p w:rsidR="00B83890" w:rsidRDefault="00B83890" w:rsidP="00B83890">
      <w:pPr>
        <w:keepNext w:val="0"/>
        <w:widowControl w:val="0"/>
      </w:pPr>
    </w:p>
    <w:p w:rsidR="00B83890" w:rsidRPr="00E1167D" w:rsidRDefault="00B83890" w:rsidP="004B1BAA">
      <w:pPr>
        <w:pStyle w:val="Heading5"/>
      </w:pPr>
      <w:r w:rsidRPr="00E1167D">
        <w:t>Visitors</w:t>
      </w:r>
    </w:p>
    <w:tbl>
      <w:tblPr>
        <w:tblW w:w="7763" w:type="dxa"/>
        <w:tblLayout w:type="fixed"/>
        <w:tblCellMar>
          <w:left w:w="0" w:type="dxa"/>
          <w:right w:w="0" w:type="dxa"/>
        </w:tblCellMar>
        <w:tblLook w:val="04A0" w:firstRow="1" w:lastRow="0" w:firstColumn="1" w:lastColumn="0" w:noHBand="0" w:noVBand="1"/>
        <w:tblCaption w:val="Health and Safety Visitors"/>
        <w:tblDescription w:val="This table shows the number of reported incidents in for visitors in 2012–13 and 2011–12."/>
      </w:tblPr>
      <w:tblGrid>
        <w:gridCol w:w="1668"/>
        <w:gridCol w:w="2031"/>
        <w:gridCol w:w="2032"/>
        <w:gridCol w:w="2032"/>
      </w:tblGrid>
      <w:tr w:rsidR="00B83890" w:rsidRPr="00E1167D" w:rsidTr="00E1167D">
        <w:trPr>
          <w:trHeight w:val="300"/>
          <w:tblHeader/>
        </w:trPr>
        <w:tc>
          <w:tcPr>
            <w:tcW w:w="166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B83890" w:rsidRPr="00E1167D" w:rsidRDefault="00B83890" w:rsidP="006E6DC8">
            <w:pPr>
              <w:keepNext w:val="0"/>
              <w:widowControl w:val="0"/>
              <w:rPr>
                <w:rFonts w:eastAsiaTheme="minorHAnsi"/>
                <w:b/>
              </w:rPr>
            </w:pPr>
            <w:r w:rsidRPr="00E1167D">
              <w:rPr>
                <w:b/>
              </w:rPr>
              <w:t> </w:t>
            </w:r>
            <w:r w:rsidR="00E1167D">
              <w:rPr>
                <w:b/>
              </w:rPr>
              <w:t>Year</w:t>
            </w:r>
          </w:p>
        </w:tc>
        <w:tc>
          <w:tcPr>
            <w:tcW w:w="203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B83890" w:rsidRPr="00E1167D" w:rsidRDefault="00B83890" w:rsidP="006E6DC8">
            <w:pPr>
              <w:keepNext w:val="0"/>
              <w:widowControl w:val="0"/>
              <w:rPr>
                <w:rFonts w:eastAsiaTheme="minorHAnsi"/>
                <w:b/>
              </w:rPr>
            </w:pPr>
            <w:r w:rsidRPr="00E1167D">
              <w:rPr>
                <w:b/>
              </w:rPr>
              <w:t>Visitors</w:t>
            </w:r>
          </w:p>
        </w:tc>
        <w:tc>
          <w:tcPr>
            <w:tcW w:w="203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B83890" w:rsidRPr="00E1167D" w:rsidRDefault="00B83890" w:rsidP="006E6DC8">
            <w:pPr>
              <w:keepNext w:val="0"/>
              <w:widowControl w:val="0"/>
              <w:rPr>
                <w:rFonts w:eastAsiaTheme="minorHAnsi"/>
                <w:b/>
              </w:rPr>
            </w:pPr>
            <w:r w:rsidRPr="00E1167D">
              <w:rPr>
                <w:b/>
              </w:rPr>
              <w:t>Incidents</w:t>
            </w:r>
          </w:p>
        </w:tc>
        <w:tc>
          <w:tcPr>
            <w:tcW w:w="203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B83890" w:rsidRPr="00E1167D" w:rsidRDefault="00B83890" w:rsidP="006E6DC8">
            <w:pPr>
              <w:keepNext w:val="0"/>
              <w:widowControl w:val="0"/>
              <w:rPr>
                <w:rFonts w:eastAsiaTheme="minorHAnsi"/>
                <w:b/>
              </w:rPr>
            </w:pPr>
            <w:r w:rsidRPr="00E1167D">
              <w:rPr>
                <w:b/>
              </w:rPr>
              <w:t>Per 100 visitors</w:t>
            </w:r>
          </w:p>
        </w:tc>
      </w:tr>
      <w:tr w:rsidR="00B83890" w:rsidRPr="00295B5C" w:rsidTr="006E6DC8">
        <w:trPr>
          <w:trHeight w:val="300"/>
        </w:trPr>
        <w:tc>
          <w:tcPr>
            <w:tcW w:w="1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83890" w:rsidRDefault="00B83890" w:rsidP="006E6DC8">
            <w:pPr>
              <w:keepNext w:val="0"/>
              <w:widowControl w:val="0"/>
            </w:pPr>
            <w:r>
              <w:t>2011–12</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tcPr>
          <w:p w:rsidR="00B83890" w:rsidRDefault="00B83890" w:rsidP="006E6DC8">
            <w:pPr>
              <w:keepNext w:val="0"/>
              <w:widowControl w:val="0"/>
              <w:rPr>
                <w:snapToGrid w:val="0"/>
              </w:rPr>
            </w:pPr>
            <w:r w:rsidRPr="007910CB">
              <w:rPr>
                <w:snapToGrid w:val="0"/>
              </w:rPr>
              <w:t>1,966,848</w:t>
            </w:r>
          </w:p>
        </w:tc>
        <w:tc>
          <w:tcPr>
            <w:tcW w:w="203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83890" w:rsidRDefault="00B83890" w:rsidP="006E6DC8">
            <w:pPr>
              <w:keepNext w:val="0"/>
              <w:widowControl w:val="0"/>
            </w:pPr>
            <w:r w:rsidRPr="007910CB">
              <w:t>218</w:t>
            </w:r>
          </w:p>
        </w:tc>
        <w:tc>
          <w:tcPr>
            <w:tcW w:w="203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83890" w:rsidRDefault="00B83890" w:rsidP="006E6DC8">
            <w:pPr>
              <w:keepNext w:val="0"/>
              <w:widowControl w:val="0"/>
            </w:pPr>
            <w:r w:rsidRPr="007910CB">
              <w:t>0.0111</w:t>
            </w:r>
          </w:p>
        </w:tc>
      </w:tr>
      <w:tr w:rsidR="00B83890" w:rsidRPr="00295B5C" w:rsidTr="006E6DC8">
        <w:trPr>
          <w:trHeight w:val="300"/>
        </w:trPr>
        <w:tc>
          <w:tcPr>
            <w:tcW w:w="1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83890" w:rsidRDefault="00B83890" w:rsidP="006E6DC8">
            <w:pPr>
              <w:keepNext w:val="0"/>
              <w:widowControl w:val="0"/>
            </w:pPr>
            <w:r>
              <w:t>2012–13</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tcPr>
          <w:p w:rsidR="00B83890" w:rsidRDefault="00B83890" w:rsidP="006E6DC8">
            <w:pPr>
              <w:keepNext w:val="0"/>
              <w:widowControl w:val="0"/>
              <w:rPr>
                <w:snapToGrid w:val="0"/>
              </w:rPr>
            </w:pPr>
            <w:r>
              <w:rPr>
                <w:snapToGrid w:val="0"/>
              </w:rPr>
              <w:t>1,656,663</w:t>
            </w:r>
          </w:p>
        </w:tc>
        <w:tc>
          <w:tcPr>
            <w:tcW w:w="203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83890" w:rsidRDefault="00B83890" w:rsidP="006E6DC8">
            <w:pPr>
              <w:keepNext w:val="0"/>
              <w:widowControl w:val="0"/>
            </w:pPr>
            <w:r>
              <w:t>340</w:t>
            </w:r>
          </w:p>
        </w:tc>
        <w:tc>
          <w:tcPr>
            <w:tcW w:w="203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83890" w:rsidRDefault="00B83890" w:rsidP="006E6DC8">
            <w:pPr>
              <w:keepNext w:val="0"/>
              <w:widowControl w:val="0"/>
            </w:pPr>
            <w:r>
              <w:t>0.0205</w:t>
            </w:r>
          </w:p>
        </w:tc>
      </w:tr>
    </w:tbl>
    <w:p w:rsidR="00B83890" w:rsidRDefault="00B83890" w:rsidP="00B83890">
      <w:pPr>
        <w:keepNext w:val="0"/>
        <w:widowControl w:val="0"/>
      </w:pPr>
    </w:p>
    <w:p w:rsidR="00B83890" w:rsidRPr="00E1167D" w:rsidRDefault="00B83890" w:rsidP="004B1BAA">
      <w:pPr>
        <w:pStyle w:val="Heading5"/>
      </w:pPr>
      <w:r w:rsidRPr="00E1167D">
        <w:t>Staff</w:t>
      </w:r>
    </w:p>
    <w:tbl>
      <w:tblPr>
        <w:tblW w:w="7763" w:type="dxa"/>
        <w:tblLayout w:type="fixed"/>
        <w:tblCellMar>
          <w:left w:w="0" w:type="dxa"/>
          <w:right w:w="0" w:type="dxa"/>
        </w:tblCellMar>
        <w:tblLook w:val="04A0" w:firstRow="1" w:lastRow="0" w:firstColumn="1" w:lastColumn="0" w:noHBand="0" w:noVBand="1"/>
        <w:tblCaption w:val="Health and Safety Staff"/>
        <w:tblDescription w:val="This table shows the number of reported incidents in for staff in 2012–13 and 2011–12."/>
      </w:tblPr>
      <w:tblGrid>
        <w:gridCol w:w="1668"/>
        <w:gridCol w:w="1984"/>
        <w:gridCol w:w="2126"/>
        <w:gridCol w:w="1985"/>
      </w:tblGrid>
      <w:tr w:rsidR="00B83890" w:rsidRPr="00E1167D" w:rsidTr="00E1167D">
        <w:trPr>
          <w:trHeight w:val="300"/>
          <w:tblHeader/>
        </w:trPr>
        <w:tc>
          <w:tcPr>
            <w:tcW w:w="166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B83890" w:rsidRPr="00E1167D" w:rsidRDefault="00B83890" w:rsidP="006E6DC8">
            <w:pPr>
              <w:keepNext w:val="0"/>
              <w:widowControl w:val="0"/>
              <w:rPr>
                <w:rFonts w:eastAsiaTheme="minorHAnsi"/>
                <w:b/>
              </w:rPr>
            </w:pPr>
            <w:r w:rsidRPr="00E1167D">
              <w:rPr>
                <w:b/>
              </w:rPr>
              <w:t> </w:t>
            </w:r>
            <w:r w:rsidR="00E1167D">
              <w:rPr>
                <w:b/>
              </w:rPr>
              <w:t>Year</w:t>
            </w:r>
          </w:p>
        </w:tc>
        <w:tc>
          <w:tcPr>
            <w:tcW w:w="19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B83890" w:rsidRPr="00E1167D" w:rsidRDefault="00B83890" w:rsidP="006E6DC8">
            <w:pPr>
              <w:keepNext w:val="0"/>
              <w:widowControl w:val="0"/>
              <w:rPr>
                <w:rFonts w:eastAsiaTheme="minorHAnsi"/>
                <w:b/>
              </w:rPr>
            </w:pPr>
            <w:r w:rsidRPr="00E1167D">
              <w:rPr>
                <w:b/>
              </w:rPr>
              <w:t>Staff FTE</w:t>
            </w:r>
          </w:p>
        </w:tc>
        <w:tc>
          <w:tcPr>
            <w:tcW w:w="21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B83890" w:rsidRPr="00E1167D" w:rsidRDefault="00B83890" w:rsidP="006E6DC8">
            <w:pPr>
              <w:keepNext w:val="0"/>
              <w:widowControl w:val="0"/>
              <w:rPr>
                <w:rFonts w:eastAsiaTheme="minorHAnsi"/>
                <w:b/>
              </w:rPr>
            </w:pPr>
            <w:r w:rsidRPr="00E1167D">
              <w:rPr>
                <w:b/>
              </w:rPr>
              <w:t>Incidents</w:t>
            </w:r>
          </w:p>
        </w:tc>
        <w:tc>
          <w:tcPr>
            <w:tcW w:w="198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B83890" w:rsidRPr="00E1167D" w:rsidRDefault="00B83890" w:rsidP="006E6DC8">
            <w:pPr>
              <w:keepNext w:val="0"/>
              <w:widowControl w:val="0"/>
              <w:rPr>
                <w:rFonts w:eastAsiaTheme="minorHAnsi"/>
                <w:b/>
              </w:rPr>
            </w:pPr>
            <w:r w:rsidRPr="00E1167D">
              <w:rPr>
                <w:b/>
              </w:rPr>
              <w:t>Per 100 staff</w:t>
            </w:r>
          </w:p>
        </w:tc>
      </w:tr>
      <w:tr w:rsidR="00B83890" w:rsidRPr="00295B5C" w:rsidTr="006E6DC8">
        <w:trPr>
          <w:trHeight w:val="300"/>
        </w:trPr>
        <w:tc>
          <w:tcPr>
            <w:tcW w:w="1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83890" w:rsidRDefault="00B83890" w:rsidP="006E6DC8">
            <w:pPr>
              <w:keepNext w:val="0"/>
              <w:widowControl w:val="0"/>
            </w:pPr>
            <w:r>
              <w:t>2011–12</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rsidR="00B83890" w:rsidRDefault="00B83890" w:rsidP="006E6DC8">
            <w:pPr>
              <w:keepNext w:val="0"/>
              <w:widowControl w:val="0"/>
              <w:rPr>
                <w:rFonts w:eastAsiaTheme="minorHAnsi"/>
              </w:rPr>
            </w:pPr>
            <w:r w:rsidRPr="007910CB">
              <w:rPr>
                <w:rFonts w:eastAsiaTheme="minorHAnsi"/>
              </w:rPr>
              <w:t>463</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83890" w:rsidRDefault="00B83890" w:rsidP="006E6DC8">
            <w:pPr>
              <w:keepNext w:val="0"/>
              <w:widowControl w:val="0"/>
              <w:rPr>
                <w:rFonts w:eastAsiaTheme="minorHAnsi"/>
              </w:rPr>
            </w:pPr>
            <w:r w:rsidRPr="007910CB">
              <w:rPr>
                <w:rFonts w:eastAsiaTheme="minorHAnsi"/>
              </w:rPr>
              <w:t>76</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83890" w:rsidRDefault="00B83890" w:rsidP="006E6DC8">
            <w:pPr>
              <w:keepNext w:val="0"/>
              <w:widowControl w:val="0"/>
              <w:rPr>
                <w:rFonts w:eastAsiaTheme="minorHAnsi"/>
              </w:rPr>
            </w:pPr>
            <w:r w:rsidRPr="007910CB">
              <w:rPr>
                <w:rFonts w:eastAsiaTheme="minorHAnsi"/>
              </w:rPr>
              <w:t>16.4</w:t>
            </w:r>
          </w:p>
        </w:tc>
      </w:tr>
      <w:tr w:rsidR="00B83890" w:rsidRPr="00295B5C" w:rsidTr="006E6DC8">
        <w:trPr>
          <w:trHeight w:val="300"/>
        </w:trPr>
        <w:tc>
          <w:tcPr>
            <w:tcW w:w="1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83890" w:rsidRDefault="00B83890" w:rsidP="006E6DC8">
            <w:pPr>
              <w:keepNext w:val="0"/>
              <w:widowControl w:val="0"/>
            </w:pPr>
            <w:r>
              <w:t>2012–13</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83890" w:rsidRDefault="00B83890" w:rsidP="006E6DC8">
            <w:pPr>
              <w:keepNext w:val="0"/>
              <w:widowControl w:val="0"/>
              <w:rPr>
                <w:rFonts w:eastAsiaTheme="minorHAnsi"/>
              </w:rPr>
            </w:pPr>
            <w:r>
              <w:rPr>
                <w:rFonts w:eastAsiaTheme="minorHAnsi"/>
              </w:rPr>
              <w:t>468</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83890" w:rsidRDefault="00B83890" w:rsidP="006E6DC8">
            <w:pPr>
              <w:keepNext w:val="0"/>
              <w:widowControl w:val="0"/>
              <w:rPr>
                <w:rFonts w:eastAsiaTheme="minorHAnsi"/>
              </w:rPr>
            </w:pPr>
            <w:r>
              <w:rPr>
                <w:rFonts w:eastAsiaTheme="minorHAnsi"/>
              </w:rPr>
              <w:t>99</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83890" w:rsidRDefault="00B83890" w:rsidP="006E6DC8">
            <w:pPr>
              <w:keepNext w:val="0"/>
              <w:widowControl w:val="0"/>
              <w:rPr>
                <w:rFonts w:eastAsiaTheme="minorHAnsi"/>
              </w:rPr>
            </w:pPr>
            <w:r>
              <w:rPr>
                <w:rFonts w:eastAsiaTheme="minorHAnsi"/>
              </w:rPr>
              <w:t>21.2</w:t>
            </w:r>
          </w:p>
        </w:tc>
      </w:tr>
    </w:tbl>
    <w:p w:rsidR="00B83890" w:rsidRDefault="00B83890" w:rsidP="00B83890">
      <w:pPr>
        <w:keepNext w:val="0"/>
        <w:widowControl w:val="0"/>
        <w:rPr>
          <w:lang w:val="fr-FR"/>
        </w:rPr>
      </w:pPr>
    </w:p>
    <w:p w:rsidR="00B83890" w:rsidRDefault="00B83890" w:rsidP="00B83890">
      <w:pPr>
        <w:keepNext w:val="0"/>
        <w:widowControl w:val="0"/>
        <w:rPr>
          <w:lang w:val="fr-FR"/>
        </w:rPr>
      </w:pPr>
      <w:r w:rsidRPr="00C07458">
        <w:rPr>
          <w:lang w:val="fr-FR"/>
        </w:rPr>
        <w:t>Notes:</w:t>
      </w:r>
    </w:p>
    <w:p w:rsidR="00B83890" w:rsidRDefault="00B83890" w:rsidP="00B83890">
      <w:pPr>
        <w:keepNext w:val="0"/>
        <w:outlineLvl w:val="9"/>
        <w:rPr>
          <w:b/>
          <w:sz w:val="40"/>
        </w:rPr>
      </w:pPr>
      <w:r>
        <w:rPr>
          <w:rFonts w:cs="Arial"/>
        </w:rPr>
        <w:t>The appointment of a dedicated Health and Safety Manager has resulted in an increased awareness and understanding of the importance of reporting all incidents, including hazards and near misses. The increase in incidents reported in 2012–13 is largely due to increased reporting of hazards</w:t>
      </w:r>
      <w:r w:rsidRPr="007535DE">
        <w:rPr>
          <w:rFonts w:cs="Arial"/>
        </w:rPr>
        <w:t xml:space="preserve"> </w:t>
      </w:r>
      <w:r>
        <w:rPr>
          <w:rFonts w:cs="Arial"/>
        </w:rPr>
        <w:t xml:space="preserve">and near misses. </w:t>
      </w:r>
      <w:r>
        <w:br w:type="page"/>
      </w:r>
    </w:p>
    <w:p w:rsidR="00B83890" w:rsidRPr="004B1BAA" w:rsidRDefault="00B83890" w:rsidP="004B1BAA">
      <w:pPr>
        <w:pStyle w:val="Heading1"/>
      </w:pPr>
      <w:r w:rsidRPr="004B1BAA">
        <w:lastRenderedPageBreak/>
        <w:t>Financial Statements</w:t>
      </w:r>
    </w:p>
    <w:p w:rsidR="00B83890" w:rsidRDefault="00B83890" w:rsidP="00B83890">
      <w:pPr>
        <w:pStyle w:val="Heading3"/>
      </w:pPr>
    </w:p>
    <w:p w:rsidR="00B83890" w:rsidRPr="00D322DE" w:rsidRDefault="00B83890" w:rsidP="004B1BAA">
      <w:pPr>
        <w:pStyle w:val="Heading2"/>
      </w:pPr>
      <w:r w:rsidRPr="00D322DE">
        <w:t>Museums Board of Victoria</w:t>
      </w:r>
    </w:p>
    <w:p w:rsidR="00B83890" w:rsidRPr="00EB2BAC" w:rsidRDefault="00B83890" w:rsidP="00B83890"/>
    <w:p w:rsidR="00B83890" w:rsidRDefault="00B83890" w:rsidP="00B83890"/>
    <w:p w:rsidR="00B83890" w:rsidRPr="008257C8" w:rsidRDefault="00B83890" w:rsidP="00B83890">
      <w:pPr>
        <w:ind w:right="680"/>
        <w:jc w:val="both"/>
        <w:rPr>
          <w:sz w:val="20"/>
          <w:szCs w:val="20"/>
        </w:rPr>
      </w:pPr>
      <w:r w:rsidRPr="008257C8">
        <w:rPr>
          <w:sz w:val="20"/>
          <w:szCs w:val="20"/>
        </w:rPr>
        <w:t>We certify that the attached financial statements for the Museums Board of Victoria have been prepared in accordance with Standing Direction 4.2 of the Financial Management Act 1994, applicable Financial Reporting Directions, Australian Accounting Standards and other mandatory professional reporting requirements.</w:t>
      </w:r>
    </w:p>
    <w:p w:rsidR="00B83890" w:rsidRPr="008257C8" w:rsidRDefault="00B83890" w:rsidP="00B83890">
      <w:pPr>
        <w:ind w:right="680"/>
        <w:jc w:val="both"/>
        <w:rPr>
          <w:sz w:val="20"/>
          <w:szCs w:val="20"/>
        </w:rPr>
      </w:pPr>
    </w:p>
    <w:p w:rsidR="00B83890" w:rsidRPr="008257C8" w:rsidRDefault="00B83890" w:rsidP="00B83890">
      <w:pPr>
        <w:ind w:right="680"/>
        <w:jc w:val="both"/>
        <w:rPr>
          <w:sz w:val="20"/>
          <w:szCs w:val="20"/>
        </w:rPr>
      </w:pPr>
      <w:r w:rsidRPr="008257C8">
        <w:rPr>
          <w:sz w:val="20"/>
          <w:szCs w:val="20"/>
        </w:rPr>
        <w:t>We further state that, in our opinion, the information set out in the Comprehensive Operating Statement, Balance Sheet, Statement of Changes in Equity, Cash Flow Statement and Notes to the Financial Statements, presents fairly the financial transactions for the year ended 30 June 2013 and financial position of the Board as at 30 June 2013.</w:t>
      </w:r>
    </w:p>
    <w:p w:rsidR="00B83890" w:rsidRPr="008257C8" w:rsidRDefault="00B83890" w:rsidP="00B83890">
      <w:pPr>
        <w:ind w:right="680"/>
        <w:jc w:val="both"/>
        <w:rPr>
          <w:sz w:val="20"/>
          <w:szCs w:val="20"/>
        </w:rPr>
      </w:pPr>
    </w:p>
    <w:p w:rsidR="00B83890" w:rsidRPr="008257C8" w:rsidRDefault="00B83890" w:rsidP="00B83890">
      <w:pPr>
        <w:ind w:right="680"/>
        <w:jc w:val="both"/>
        <w:rPr>
          <w:sz w:val="20"/>
          <w:szCs w:val="20"/>
        </w:rPr>
      </w:pPr>
      <w:r w:rsidRPr="008257C8">
        <w:rPr>
          <w:sz w:val="20"/>
          <w:szCs w:val="20"/>
        </w:rPr>
        <w:t xml:space="preserve">At the date of signing these financial statements, we are not aware of any circumstance which would render any particulars to be misleading or inaccurate. </w:t>
      </w:r>
    </w:p>
    <w:p w:rsidR="00B83890" w:rsidRPr="008257C8" w:rsidRDefault="00B83890" w:rsidP="00B83890">
      <w:pPr>
        <w:ind w:right="680"/>
        <w:jc w:val="both"/>
        <w:rPr>
          <w:sz w:val="20"/>
          <w:szCs w:val="20"/>
        </w:rPr>
      </w:pPr>
    </w:p>
    <w:p w:rsidR="00B83890" w:rsidRPr="008257C8" w:rsidRDefault="00B83890" w:rsidP="00B83890">
      <w:pPr>
        <w:ind w:right="680"/>
        <w:jc w:val="both"/>
        <w:rPr>
          <w:sz w:val="20"/>
          <w:szCs w:val="20"/>
        </w:rPr>
      </w:pPr>
      <w:r w:rsidRPr="008257C8">
        <w:rPr>
          <w:sz w:val="20"/>
          <w:szCs w:val="20"/>
        </w:rPr>
        <w:t>Depreciation expense is not fully funded by Government with funding for the renewal and replacement of infrastructure requested and allocated on a case-by-case basis.</w:t>
      </w:r>
    </w:p>
    <w:p w:rsidR="00B83890" w:rsidRPr="008257C8" w:rsidRDefault="00B83890" w:rsidP="00B83890">
      <w:pPr>
        <w:ind w:right="680"/>
        <w:jc w:val="both"/>
        <w:rPr>
          <w:sz w:val="20"/>
          <w:szCs w:val="20"/>
        </w:rPr>
      </w:pPr>
    </w:p>
    <w:p w:rsidR="00B83890" w:rsidRPr="008257C8" w:rsidRDefault="00B83890" w:rsidP="00B83890">
      <w:pPr>
        <w:ind w:right="680"/>
        <w:rPr>
          <w:sz w:val="20"/>
          <w:szCs w:val="20"/>
        </w:rPr>
      </w:pPr>
      <w:r w:rsidRPr="008257C8">
        <w:rPr>
          <w:sz w:val="20"/>
          <w:szCs w:val="20"/>
        </w:rPr>
        <w:t>We authorise the attached financial statements for issue on 19 August 2013.</w:t>
      </w:r>
    </w:p>
    <w:p w:rsidR="00B83890" w:rsidRPr="008257C8" w:rsidRDefault="00B83890" w:rsidP="00B83890">
      <w:pPr>
        <w:ind w:right="680"/>
        <w:rPr>
          <w:sz w:val="20"/>
          <w:szCs w:val="20"/>
        </w:rPr>
      </w:pPr>
    </w:p>
    <w:p w:rsidR="00B83890" w:rsidRPr="008257C8" w:rsidRDefault="00B83890" w:rsidP="00B83890">
      <w:pPr>
        <w:tabs>
          <w:tab w:val="left" w:leader="dot" w:pos="2880"/>
          <w:tab w:val="left" w:pos="5040"/>
          <w:tab w:val="left" w:leader="dot" w:pos="7920"/>
        </w:tabs>
        <w:ind w:right="680"/>
        <w:rPr>
          <w:sz w:val="20"/>
          <w:szCs w:val="20"/>
        </w:rPr>
      </w:pPr>
      <w:r w:rsidRPr="008257C8">
        <w:rPr>
          <w:sz w:val="20"/>
          <w:szCs w:val="20"/>
        </w:rPr>
        <w:tab/>
        <w:t>............</w:t>
      </w:r>
      <w:r w:rsidRPr="008257C8">
        <w:rPr>
          <w:sz w:val="20"/>
          <w:szCs w:val="20"/>
        </w:rPr>
        <w:tab/>
      </w:r>
    </w:p>
    <w:p w:rsidR="00B83890" w:rsidRPr="008257C8" w:rsidRDefault="00B83890" w:rsidP="00B83890">
      <w:pPr>
        <w:tabs>
          <w:tab w:val="left" w:pos="2880"/>
          <w:tab w:val="left" w:pos="5040"/>
          <w:tab w:val="left" w:leader="hyphen" w:pos="7920"/>
        </w:tabs>
        <w:spacing w:before="40"/>
        <w:ind w:right="680"/>
        <w:rPr>
          <w:sz w:val="20"/>
          <w:szCs w:val="20"/>
        </w:rPr>
      </w:pPr>
      <w:r w:rsidRPr="008257C8">
        <w:rPr>
          <w:sz w:val="20"/>
          <w:szCs w:val="20"/>
        </w:rPr>
        <w:t>Professor Margaret Gardner AO</w:t>
      </w:r>
      <w:r w:rsidRPr="008257C8">
        <w:rPr>
          <w:sz w:val="20"/>
          <w:szCs w:val="20"/>
        </w:rPr>
        <w:tab/>
      </w:r>
    </w:p>
    <w:p w:rsidR="00B83890" w:rsidRPr="008257C8" w:rsidRDefault="00B83890" w:rsidP="00B83890">
      <w:pPr>
        <w:tabs>
          <w:tab w:val="left" w:pos="2880"/>
          <w:tab w:val="left" w:pos="5040"/>
          <w:tab w:val="left" w:leader="hyphen" w:pos="7920"/>
        </w:tabs>
        <w:ind w:right="680"/>
        <w:rPr>
          <w:sz w:val="20"/>
          <w:szCs w:val="20"/>
        </w:rPr>
      </w:pPr>
      <w:r w:rsidRPr="008257C8">
        <w:rPr>
          <w:sz w:val="20"/>
          <w:szCs w:val="20"/>
        </w:rPr>
        <w:t>PRESIDENT, MUSEUMS BOARD OF VICTORIA</w:t>
      </w:r>
    </w:p>
    <w:p w:rsidR="00B83890" w:rsidRPr="008257C8" w:rsidRDefault="00B83890" w:rsidP="00B83890">
      <w:pPr>
        <w:tabs>
          <w:tab w:val="left" w:leader="dot" w:pos="2880"/>
          <w:tab w:val="left" w:pos="5040"/>
          <w:tab w:val="left" w:leader="hyphen" w:pos="7920"/>
        </w:tabs>
        <w:ind w:right="680"/>
        <w:jc w:val="center"/>
        <w:rPr>
          <w:sz w:val="20"/>
          <w:szCs w:val="20"/>
        </w:rPr>
      </w:pPr>
    </w:p>
    <w:p w:rsidR="00B83890" w:rsidRPr="008257C8" w:rsidRDefault="00B83890" w:rsidP="00B83890">
      <w:pPr>
        <w:tabs>
          <w:tab w:val="left" w:leader="dot" w:pos="2880"/>
          <w:tab w:val="left" w:pos="4962"/>
          <w:tab w:val="left" w:pos="7938"/>
        </w:tabs>
        <w:ind w:right="375"/>
        <w:rPr>
          <w:sz w:val="20"/>
          <w:szCs w:val="20"/>
        </w:rPr>
      </w:pPr>
      <w:r w:rsidRPr="008257C8">
        <w:rPr>
          <w:sz w:val="20"/>
          <w:szCs w:val="20"/>
        </w:rPr>
        <w:tab/>
        <w:t>………..</w:t>
      </w:r>
      <w:r>
        <w:rPr>
          <w:sz w:val="20"/>
          <w:szCs w:val="20"/>
        </w:rPr>
        <w:tab/>
      </w:r>
      <w:r w:rsidRPr="008257C8">
        <w:rPr>
          <w:sz w:val="20"/>
          <w:szCs w:val="20"/>
        </w:rPr>
        <w:t>…………………………………..</w:t>
      </w:r>
    </w:p>
    <w:p w:rsidR="00B83890" w:rsidRPr="008257C8" w:rsidRDefault="00B83890" w:rsidP="00B83890">
      <w:pPr>
        <w:tabs>
          <w:tab w:val="left" w:leader="dot" w:pos="2880"/>
          <w:tab w:val="left" w:pos="5040"/>
          <w:tab w:val="left" w:leader="hyphen" w:pos="7920"/>
        </w:tabs>
        <w:spacing w:before="40"/>
        <w:ind w:right="680"/>
        <w:rPr>
          <w:sz w:val="20"/>
          <w:szCs w:val="20"/>
        </w:rPr>
      </w:pPr>
      <w:r w:rsidRPr="008257C8">
        <w:rPr>
          <w:sz w:val="20"/>
          <w:szCs w:val="20"/>
        </w:rPr>
        <w:t>Dr J Patrick Greene</w:t>
      </w:r>
      <w:r w:rsidR="00521470">
        <w:rPr>
          <w:sz w:val="20"/>
          <w:szCs w:val="20"/>
        </w:rPr>
        <w:tab/>
      </w:r>
      <w:r w:rsidR="00521470">
        <w:rPr>
          <w:sz w:val="20"/>
          <w:szCs w:val="20"/>
        </w:rPr>
        <w:tab/>
      </w:r>
      <w:r w:rsidR="00751664">
        <w:rPr>
          <w:sz w:val="20"/>
          <w:szCs w:val="20"/>
        </w:rPr>
        <w:t>Mr Callum Ingram</w:t>
      </w:r>
    </w:p>
    <w:p w:rsidR="00B83890" w:rsidRPr="008257C8" w:rsidRDefault="00B83890" w:rsidP="00B83890">
      <w:pPr>
        <w:tabs>
          <w:tab w:val="left" w:pos="2880"/>
          <w:tab w:val="left" w:pos="4962"/>
          <w:tab w:val="left" w:leader="hyphen" w:pos="7920"/>
        </w:tabs>
        <w:ind w:right="680"/>
        <w:rPr>
          <w:sz w:val="20"/>
          <w:szCs w:val="20"/>
        </w:rPr>
      </w:pPr>
      <w:r w:rsidRPr="008257C8">
        <w:rPr>
          <w:sz w:val="20"/>
          <w:szCs w:val="20"/>
        </w:rPr>
        <w:t>CHIEF EXECUTIVE OFFICER</w:t>
      </w:r>
      <w:r w:rsidR="00521470">
        <w:rPr>
          <w:sz w:val="20"/>
          <w:szCs w:val="20"/>
        </w:rPr>
        <w:tab/>
      </w:r>
      <w:r w:rsidR="00521470">
        <w:rPr>
          <w:sz w:val="20"/>
          <w:szCs w:val="20"/>
        </w:rPr>
        <w:tab/>
      </w:r>
      <w:r>
        <w:rPr>
          <w:sz w:val="20"/>
          <w:szCs w:val="20"/>
        </w:rPr>
        <w:t>CH</w:t>
      </w:r>
      <w:r w:rsidRPr="008257C8">
        <w:rPr>
          <w:sz w:val="20"/>
          <w:szCs w:val="20"/>
        </w:rPr>
        <w:t>IEF FINANCIAL OFFICER</w:t>
      </w:r>
    </w:p>
    <w:p w:rsidR="00B83890" w:rsidRPr="008257C8" w:rsidRDefault="00B83890" w:rsidP="00B83890">
      <w:pPr>
        <w:tabs>
          <w:tab w:val="left" w:leader="dot" w:pos="2880"/>
          <w:tab w:val="left" w:pos="5040"/>
          <w:tab w:val="left" w:leader="hyphen" w:pos="7920"/>
        </w:tabs>
        <w:ind w:left="567" w:right="680"/>
        <w:rPr>
          <w:sz w:val="20"/>
          <w:szCs w:val="20"/>
        </w:rPr>
      </w:pPr>
    </w:p>
    <w:p w:rsidR="00B83890" w:rsidRPr="008257C8" w:rsidRDefault="00B83890" w:rsidP="00B83890">
      <w:pPr>
        <w:tabs>
          <w:tab w:val="left" w:leader="dot" w:pos="2880"/>
          <w:tab w:val="left" w:pos="5040"/>
          <w:tab w:val="left" w:leader="hyphen" w:pos="7920"/>
        </w:tabs>
        <w:ind w:right="680"/>
        <w:rPr>
          <w:sz w:val="20"/>
          <w:szCs w:val="20"/>
        </w:rPr>
      </w:pPr>
      <w:r w:rsidRPr="008257C8">
        <w:rPr>
          <w:sz w:val="20"/>
          <w:szCs w:val="20"/>
        </w:rPr>
        <w:t>19 August 2013</w:t>
      </w:r>
    </w:p>
    <w:p w:rsidR="00B83890" w:rsidRPr="008257C8" w:rsidRDefault="00B83890" w:rsidP="00B83890">
      <w:pPr>
        <w:tabs>
          <w:tab w:val="left" w:leader="dot" w:pos="2880"/>
          <w:tab w:val="left" w:pos="5040"/>
          <w:tab w:val="left" w:leader="hyphen" w:pos="7920"/>
        </w:tabs>
        <w:ind w:right="680"/>
        <w:rPr>
          <w:sz w:val="20"/>
          <w:szCs w:val="20"/>
        </w:rPr>
      </w:pPr>
      <w:r w:rsidRPr="008257C8">
        <w:rPr>
          <w:sz w:val="20"/>
          <w:szCs w:val="20"/>
        </w:rPr>
        <w:tab/>
      </w:r>
    </w:p>
    <w:p w:rsidR="00B83890" w:rsidRPr="008257C8" w:rsidRDefault="00B83890" w:rsidP="00B83890">
      <w:pPr>
        <w:tabs>
          <w:tab w:val="left" w:leader="dot" w:pos="2880"/>
          <w:tab w:val="left" w:pos="5040"/>
          <w:tab w:val="left" w:leader="hyphen" w:pos="7920"/>
        </w:tabs>
        <w:spacing w:before="40"/>
        <w:ind w:right="680"/>
        <w:rPr>
          <w:sz w:val="20"/>
          <w:szCs w:val="20"/>
        </w:rPr>
      </w:pPr>
      <w:r w:rsidRPr="008257C8">
        <w:rPr>
          <w:sz w:val="20"/>
          <w:szCs w:val="20"/>
        </w:rPr>
        <w:t xml:space="preserve">DATED </w:t>
      </w:r>
    </w:p>
    <w:p w:rsidR="00B83890" w:rsidRDefault="00B83890" w:rsidP="00B83890">
      <w:pPr>
        <w:keepNext w:val="0"/>
        <w:outlineLvl w:val="9"/>
      </w:pPr>
      <w:r>
        <w:br w:type="page"/>
      </w:r>
    </w:p>
    <w:p w:rsidR="00F86D12" w:rsidRPr="006F2B46" w:rsidRDefault="00F86D12" w:rsidP="00F86D12">
      <w:pPr>
        <w:pStyle w:val="Heading2"/>
      </w:pPr>
      <w:r>
        <w:lastRenderedPageBreak/>
        <w:t xml:space="preserve">COMPREHENSIVE </w:t>
      </w:r>
      <w:r w:rsidRPr="006F2B46">
        <w:t xml:space="preserve">OPERATING STATEMENT                                                                                             FOR THE FINANCIAL YEAR ENDED 30 JUNE </w:t>
      </w:r>
      <w:r>
        <w:t>2013</w:t>
      </w:r>
    </w:p>
    <w:tbl>
      <w:tblPr>
        <w:tblW w:w="9244" w:type="dxa"/>
        <w:tblBorders>
          <w:bottom w:val="single" w:sz="4" w:space="0" w:color="auto"/>
        </w:tblBorders>
        <w:tblLayout w:type="fixed"/>
        <w:tblCellMar>
          <w:left w:w="30" w:type="dxa"/>
          <w:right w:w="30" w:type="dxa"/>
        </w:tblCellMar>
        <w:tblLook w:val="0000" w:firstRow="0" w:lastRow="0" w:firstColumn="0" w:lastColumn="0" w:noHBand="0" w:noVBand="0"/>
        <w:tblCaption w:val="Comprehensive Operating Statement for the Financial Year ended 30 June 2013"/>
        <w:tblDescription w:val="This table shows a summary of the financial result for 2012–13."/>
      </w:tblPr>
      <w:tblGrid>
        <w:gridCol w:w="4667"/>
        <w:gridCol w:w="844"/>
        <w:gridCol w:w="2250"/>
        <w:gridCol w:w="1406"/>
        <w:gridCol w:w="77"/>
      </w:tblGrid>
      <w:tr w:rsidR="00F86D12" w:rsidTr="00D74A18">
        <w:trPr>
          <w:trHeight w:val="218"/>
        </w:trPr>
        <w:tc>
          <w:tcPr>
            <w:tcW w:w="4667" w:type="dxa"/>
          </w:tcPr>
          <w:p w:rsidR="00F86D12" w:rsidRDefault="00F86D12" w:rsidP="00D74A18">
            <w:pPr>
              <w:rPr>
                <w:b/>
                <w:color w:val="000000"/>
                <w:lang w:val="en-GB"/>
              </w:rPr>
            </w:pPr>
          </w:p>
        </w:tc>
        <w:tc>
          <w:tcPr>
            <w:tcW w:w="844" w:type="dxa"/>
          </w:tcPr>
          <w:p w:rsidR="00F86D12" w:rsidRDefault="00F86D12" w:rsidP="00D74A18">
            <w:pPr>
              <w:pStyle w:val="Heading8"/>
              <w:rPr>
                <w:rFonts w:ascii="Arial" w:hAnsi="Arial"/>
              </w:rPr>
            </w:pPr>
          </w:p>
        </w:tc>
        <w:tc>
          <w:tcPr>
            <w:tcW w:w="2250" w:type="dxa"/>
          </w:tcPr>
          <w:p w:rsidR="00F86D12" w:rsidRDefault="00F86D12" w:rsidP="00D74A18">
            <w:pPr>
              <w:jc w:val="right"/>
              <w:rPr>
                <w:b/>
                <w:lang w:val="en-GB"/>
              </w:rPr>
            </w:pPr>
          </w:p>
        </w:tc>
        <w:tc>
          <w:tcPr>
            <w:tcW w:w="1483" w:type="dxa"/>
            <w:gridSpan w:val="2"/>
          </w:tcPr>
          <w:p w:rsidR="00F86D12" w:rsidRDefault="00F86D12" w:rsidP="00D74A18">
            <w:pPr>
              <w:jc w:val="right"/>
              <w:rPr>
                <w:b/>
                <w:lang w:val="en-GB"/>
              </w:rPr>
            </w:pPr>
          </w:p>
        </w:tc>
      </w:tr>
      <w:tr w:rsidR="00F86D12" w:rsidTr="00D74A18">
        <w:trPr>
          <w:trHeight w:val="218"/>
        </w:trPr>
        <w:tc>
          <w:tcPr>
            <w:tcW w:w="4667" w:type="dxa"/>
          </w:tcPr>
          <w:p w:rsidR="00F86D12" w:rsidRPr="00F86D12" w:rsidRDefault="00F86D12" w:rsidP="00513943">
            <w:pPr>
              <w:rPr>
                <w:b/>
                <w:color w:val="000000"/>
                <w:lang w:val="en-GB"/>
              </w:rPr>
            </w:pPr>
          </w:p>
        </w:tc>
        <w:tc>
          <w:tcPr>
            <w:tcW w:w="844" w:type="dxa"/>
          </w:tcPr>
          <w:p w:rsidR="00F86D12" w:rsidRPr="00F86D12" w:rsidRDefault="00F86D12" w:rsidP="00513943">
            <w:pPr>
              <w:pStyle w:val="Heading8"/>
              <w:spacing w:before="0"/>
              <w:rPr>
                <w:rFonts w:ascii="Arial" w:hAnsi="Arial"/>
                <w:b/>
              </w:rPr>
            </w:pPr>
            <w:r w:rsidRPr="00F86D12">
              <w:rPr>
                <w:rFonts w:ascii="Arial" w:hAnsi="Arial"/>
                <w:b/>
              </w:rPr>
              <w:t>NOTES</w:t>
            </w:r>
          </w:p>
        </w:tc>
        <w:tc>
          <w:tcPr>
            <w:tcW w:w="2250" w:type="dxa"/>
          </w:tcPr>
          <w:p w:rsidR="00F86D12" w:rsidRDefault="00F86D12" w:rsidP="00513943">
            <w:pPr>
              <w:jc w:val="right"/>
              <w:rPr>
                <w:b/>
                <w:i/>
                <w:sz w:val="18"/>
                <w:lang w:val="en-GB"/>
              </w:rPr>
            </w:pPr>
            <w:r>
              <w:rPr>
                <w:b/>
                <w:lang w:val="en-GB"/>
              </w:rPr>
              <w:t>2013</w:t>
            </w:r>
          </w:p>
        </w:tc>
        <w:tc>
          <w:tcPr>
            <w:tcW w:w="1483" w:type="dxa"/>
            <w:gridSpan w:val="2"/>
          </w:tcPr>
          <w:p w:rsidR="00F86D12" w:rsidRDefault="00F86D12" w:rsidP="00513943">
            <w:pPr>
              <w:jc w:val="right"/>
              <w:rPr>
                <w:b/>
                <w:i/>
                <w:sz w:val="18"/>
                <w:lang w:val="en-GB"/>
              </w:rPr>
            </w:pPr>
            <w:r>
              <w:rPr>
                <w:b/>
                <w:lang w:val="en-GB"/>
              </w:rPr>
              <w:t>2012</w:t>
            </w:r>
          </w:p>
        </w:tc>
      </w:tr>
      <w:tr w:rsidR="00F86D12" w:rsidTr="00D74A18">
        <w:trPr>
          <w:trHeight w:val="218"/>
        </w:trPr>
        <w:tc>
          <w:tcPr>
            <w:tcW w:w="4667" w:type="dxa"/>
          </w:tcPr>
          <w:p w:rsidR="00F86D12" w:rsidRDefault="00F86D12" w:rsidP="00513943">
            <w:pPr>
              <w:rPr>
                <w:b/>
                <w:color w:val="000000"/>
                <w:lang w:val="en-GB"/>
              </w:rPr>
            </w:pPr>
          </w:p>
        </w:tc>
        <w:tc>
          <w:tcPr>
            <w:tcW w:w="844" w:type="dxa"/>
          </w:tcPr>
          <w:p w:rsidR="00F86D12" w:rsidRDefault="00F86D12" w:rsidP="00513943">
            <w:pPr>
              <w:jc w:val="center"/>
              <w:rPr>
                <w:b/>
                <w:color w:val="000000"/>
                <w:lang w:val="en-GB"/>
              </w:rPr>
            </w:pPr>
          </w:p>
        </w:tc>
        <w:tc>
          <w:tcPr>
            <w:tcW w:w="2250" w:type="dxa"/>
          </w:tcPr>
          <w:p w:rsidR="00F86D12" w:rsidRDefault="00F86D12" w:rsidP="00513943">
            <w:pPr>
              <w:jc w:val="right"/>
              <w:rPr>
                <w:b/>
                <w:i/>
                <w:lang w:val="en-GB"/>
              </w:rPr>
            </w:pPr>
            <w:r>
              <w:rPr>
                <w:b/>
                <w:lang w:val="en-GB"/>
              </w:rPr>
              <w:t>$’000</w:t>
            </w:r>
          </w:p>
        </w:tc>
        <w:tc>
          <w:tcPr>
            <w:tcW w:w="1483" w:type="dxa"/>
            <w:gridSpan w:val="2"/>
          </w:tcPr>
          <w:p w:rsidR="00F86D12" w:rsidRDefault="00F86D12" w:rsidP="00513943">
            <w:pPr>
              <w:jc w:val="right"/>
              <w:rPr>
                <w:b/>
                <w:i/>
                <w:lang w:val="en-GB"/>
              </w:rPr>
            </w:pPr>
            <w:r>
              <w:rPr>
                <w:b/>
                <w:lang w:val="en-GB"/>
              </w:rPr>
              <w:t>$’000</w:t>
            </w:r>
          </w:p>
        </w:tc>
      </w:tr>
      <w:tr w:rsidR="00F86D12" w:rsidTr="00D74A18">
        <w:trPr>
          <w:trHeight w:val="281"/>
        </w:trPr>
        <w:tc>
          <w:tcPr>
            <w:tcW w:w="4667" w:type="dxa"/>
          </w:tcPr>
          <w:p w:rsidR="00F86D12" w:rsidRDefault="00F86D12" w:rsidP="00513943">
            <w:pPr>
              <w:pStyle w:val="Heading2"/>
              <w:rPr>
                <w:i/>
                <w:sz w:val="20"/>
              </w:rPr>
            </w:pPr>
            <w:r>
              <w:rPr>
                <w:sz w:val="20"/>
              </w:rPr>
              <w:t>Income from transactions</w:t>
            </w:r>
          </w:p>
        </w:tc>
        <w:tc>
          <w:tcPr>
            <w:tcW w:w="844" w:type="dxa"/>
          </w:tcPr>
          <w:p w:rsidR="00F86D12" w:rsidRDefault="00F86D12" w:rsidP="00513943">
            <w:pPr>
              <w:jc w:val="center"/>
              <w:rPr>
                <w:b/>
                <w:color w:val="000000"/>
                <w:lang w:val="en-GB"/>
              </w:rPr>
            </w:pPr>
          </w:p>
        </w:tc>
        <w:tc>
          <w:tcPr>
            <w:tcW w:w="2250" w:type="dxa"/>
          </w:tcPr>
          <w:p w:rsidR="00F86D12" w:rsidRDefault="00F86D12" w:rsidP="00513943">
            <w:pPr>
              <w:rPr>
                <w:b/>
                <w:i/>
                <w:lang w:val="en-GB"/>
              </w:rPr>
            </w:pPr>
          </w:p>
        </w:tc>
        <w:tc>
          <w:tcPr>
            <w:tcW w:w="1483" w:type="dxa"/>
            <w:gridSpan w:val="2"/>
          </w:tcPr>
          <w:p w:rsidR="00F86D12" w:rsidRDefault="00F86D12" w:rsidP="00513943">
            <w:pPr>
              <w:rPr>
                <w:b/>
                <w:i/>
                <w:lang w:val="en-GB"/>
              </w:rPr>
            </w:pPr>
          </w:p>
        </w:tc>
      </w:tr>
      <w:tr w:rsidR="00F86D12" w:rsidTr="00D74A18">
        <w:trPr>
          <w:trHeight w:val="255"/>
        </w:trPr>
        <w:tc>
          <w:tcPr>
            <w:tcW w:w="4667" w:type="dxa"/>
            <w:vAlign w:val="center"/>
          </w:tcPr>
          <w:p w:rsidR="00F86D12" w:rsidRDefault="00F86D12" w:rsidP="00513943">
            <w:r>
              <w:t>Victorian Government Grants</w:t>
            </w:r>
          </w:p>
        </w:tc>
        <w:tc>
          <w:tcPr>
            <w:tcW w:w="844" w:type="dxa"/>
            <w:vAlign w:val="center"/>
          </w:tcPr>
          <w:p w:rsidR="00F86D12" w:rsidRPr="00B33B81" w:rsidRDefault="00F86D12" w:rsidP="00513943">
            <w:pPr>
              <w:jc w:val="center"/>
              <w:rPr>
                <w:color w:val="000000"/>
                <w:lang w:val="en-GB"/>
              </w:rPr>
            </w:pPr>
            <w:r w:rsidRPr="00B33B81">
              <w:rPr>
                <w:color w:val="000000"/>
                <w:lang w:val="en-GB"/>
              </w:rPr>
              <w:t xml:space="preserve">2 </w:t>
            </w:r>
          </w:p>
        </w:tc>
        <w:tc>
          <w:tcPr>
            <w:tcW w:w="2250" w:type="dxa"/>
            <w:vAlign w:val="center"/>
          </w:tcPr>
          <w:p w:rsidR="00F86D12" w:rsidRDefault="00F86D12" w:rsidP="00513943">
            <w:pPr>
              <w:ind w:right="-30"/>
              <w:jc w:val="right"/>
              <w:rPr>
                <w:lang w:val="en-GB"/>
              </w:rPr>
            </w:pPr>
            <w:r>
              <w:rPr>
                <w:lang w:val="en-GB"/>
              </w:rPr>
              <w:t>84,701</w:t>
            </w:r>
          </w:p>
        </w:tc>
        <w:tc>
          <w:tcPr>
            <w:tcW w:w="1483" w:type="dxa"/>
            <w:gridSpan w:val="2"/>
            <w:vAlign w:val="center"/>
          </w:tcPr>
          <w:p w:rsidR="00F86D12" w:rsidRDefault="00F86D12" w:rsidP="00513943">
            <w:pPr>
              <w:jc w:val="right"/>
              <w:rPr>
                <w:lang w:val="en-GB"/>
              </w:rPr>
            </w:pPr>
            <w:r>
              <w:rPr>
                <w:lang w:val="en-GB"/>
              </w:rPr>
              <w:t>85,806</w:t>
            </w:r>
          </w:p>
        </w:tc>
      </w:tr>
      <w:tr w:rsidR="00F86D12" w:rsidTr="00D74A18">
        <w:trPr>
          <w:trHeight w:val="255"/>
        </w:trPr>
        <w:tc>
          <w:tcPr>
            <w:tcW w:w="4667" w:type="dxa"/>
            <w:vAlign w:val="center"/>
          </w:tcPr>
          <w:p w:rsidR="00F86D12" w:rsidRDefault="00F86D12" w:rsidP="00513943">
            <w:pPr>
              <w:rPr>
                <w:color w:val="000000"/>
                <w:lang w:val="en-GB"/>
              </w:rPr>
            </w:pPr>
            <w:r>
              <w:rPr>
                <w:color w:val="000000"/>
                <w:lang w:val="en-GB"/>
              </w:rPr>
              <w:t>Fees and Charges</w:t>
            </w:r>
          </w:p>
        </w:tc>
        <w:tc>
          <w:tcPr>
            <w:tcW w:w="844" w:type="dxa"/>
            <w:vAlign w:val="center"/>
          </w:tcPr>
          <w:p w:rsidR="00F86D12" w:rsidRDefault="00F86D12" w:rsidP="00513943">
            <w:pPr>
              <w:jc w:val="center"/>
              <w:rPr>
                <w:i/>
                <w:color w:val="000000"/>
                <w:lang w:val="en-GB"/>
              </w:rPr>
            </w:pPr>
          </w:p>
        </w:tc>
        <w:tc>
          <w:tcPr>
            <w:tcW w:w="2250" w:type="dxa"/>
            <w:vAlign w:val="center"/>
          </w:tcPr>
          <w:p w:rsidR="00F86D12" w:rsidRDefault="00F86D12" w:rsidP="00513943">
            <w:pPr>
              <w:ind w:right="-30"/>
              <w:jc w:val="right"/>
              <w:rPr>
                <w:lang w:val="en-GB"/>
              </w:rPr>
            </w:pPr>
            <w:r>
              <w:rPr>
                <w:lang w:val="en-GB"/>
              </w:rPr>
              <w:t>14,679</w:t>
            </w:r>
          </w:p>
        </w:tc>
        <w:tc>
          <w:tcPr>
            <w:tcW w:w="1483" w:type="dxa"/>
            <w:gridSpan w:val="2"/>
            <w:vAlign w:val="center"/>
          </w:tcPr>
          <w:p w:rsidR="00F86D12" w:rsidRDefault="00F86D12" w:rsidP="00513943">
            <w:pPr>
              <w:jc w:val="right"/>
              <w:rPr>
                <w:lang w:val="en-GB"/>
              </w:rPr>
            </w:pPr>
            <w:r>
              <w:rPr>
                <w:lang w:val="en-GB"/>
              </w:rPr>
              <w:t>14,313</w:t>
            </w:r>
          </w:p>
        </w:tc>
      </w:tr>
      <w:tr w:rsidR="00F86D12" w:rsidTr="00D74A18">
        <w:trPr>
          <w:trHeight w:val="255"/>
        </w:trPr>
        <w:tc>
          <w:tcPr>
            <w:tcW w:w="4667" w:type="dxa"/>
            <w:vAlign w:val="center"/>
          </w:tcPr>
          <w:p w:rsidR="00F86D12" w:rsidRDefault="00F86D12" w:rsidP="00513943">
            <w:pPr>
              <w:rPr>
                <w:color w:val="000000"/>
                <w:lang w:val="en-GB"/>
              </w:rPr>
            </w:pPr>
            <w:r w:rsidRPr="006B1EB6">
              <w:rPr>
                <w:color w:val="000000"/>
                <w:lang w:val="en-GB"/>
              </w:rPr>
              <w:t>Sales of Goods and Services</w:t>
            </w:r>
          </w:p>
        </w:tc>
        <w:tc>
          <w:tcPr>
            <w:tcW w:w="844" w:type="dxa"/>
            <w:vAlign w:val="center"/>
          </w:tcPr>
          <w:p w:rsidR="00F86D12" w:rsidRDefault="00F86D12" w:rsidP="00513943">
            <w:pPr>
              <w:jc w:val="center"/>
              <w:rPr>
                <w:i/>
                <w:color w:val="000000"/>
                <w:lang w:val="en-GB"/>
              </w:rPr>
            </w:pPr>
          </w:p>
        </w:tc>
        <w:tc>
          <w:tcPr>
            <w:tcW w:w="2250" w:type="dxa"/>
            <w:vAlign w:val="center"/>
          </w:tcPr>
          <w:p w:rsidR="00F86D12" w:rsidRDefault="00F86D12" w:rsidP="00513943">
            <w:pPr>
              <w:ind w:right="-30"/>
              <w:jc w:val="right"/>
              <w:rPr>
                <w:lang w:val="en-GB"/>
              </w:rPr>
            </w:pPr>
            <w:r>
              <w:rPr>
                <w:lang w:val="en-GB"/>
              </w:rPr>
              <w:t>3,479</w:t>
            </w:r>
          </w:p>
        </w:tc>
        <w:tc>
          <w:tcPr>
            <w:tcW w:w="1483" w:type="dxa"/>
            <w:gridSpan w:val="2"/>
            <w:vAlign w:val="center"/>
          </w:tcPr>
          <w:p w:rsidR="00F86D12" w:rsidRDefault="00F86D12" w:rsidP="00513943">
            <w:pPr>
              <w:jc w:val="right"/>
              <w:rPr>
                <w:lang w:val="en-GB"/>
              </w:rPr>
            </w:pPr>
            <w:r>
              <w:rPr>
                <w:lang w:val="en-GB"/>
              </w:rPr>
              <w:t>3,956</w:t>
            </w:r>
          </w:p>
        </w:tc>
      </w:tr>
      <w:tr w:rsidR="00F86D12" w:rsidTr="00D74A18">
        <w:trPr>
          <w:trHeight w:val="255"/>
        </w:trPr>
        <w:tc>
          <w:tcPr>
            <w:tcW w:w="4667" w:type="dxa"/>
            <w:vAlign w:val="center"/>
          </w:tcPr>
          <w:p w:rsidR="00F86D12" w:rsidRDefault="00F86D12" w:rsidP="00513943">
            <w:pPr>
              <w:rPr>
                <w:color w:val="000000"/>
                <w:lang w:val="en-GB"/>
              </w:rPr>
            </w:pPr>
            <w:r>
              <w:rPr>
                <w:color w:val="000000"/>
                <w:lang w:val="en-GB"/>
              </w:rPr>
              <w:t>Other Grants</w:t>
            </w:r>
          </w:p>
        </w:tc>
        <w:tc>
          <w:tcPr>
            <w:tcW w:w="844" w:type="dxa"/>
            <w:vAlign w:val="center"/>
          </w:tcPr>
          <w:p w:rsidR="00F86D12" w:rsidRPr="00B33B81" w:rsidRDefault="00F86D12" w:rsidP="00513943">
            <w:pPr>
              <w:jc w:val="center"/>
              <w:rPr>
                <w:color w:val="000000"/>
                <w:lang w:val="en-GB"/>
              </w:rPr>
            </w:pPr>
            <w:r w:rsidRPr="00B33B81">
              <w:rPr>
                <w:color w:val="000000"/>
                <w:lang w:val="en-GB"/>
              </w:rPr>
              <w:t xml:space="preserve">3 </w:t>
            </w:r>
          </w:p>
        </w:tc>
        <w:tc>
          <w:tcPr>
            <w:tcW w:w="2250" w:type="dxa"/>
            <w:vAlign w:val="center"/>
          </w:tcPr>
          <w:p w:rsidR="00F86D12" w:rsidRDefault="00F86D12" w:rsidP="00513943">
            <w:pPr>
              <w:ind w:right="-30"/>
              <w:jc w:val="right"/>
              <w:rPr>
                <w:lang w:val="en-GB"/>
              </w:rPr>
            </w:pPr>
            <w:r>
              <w:rPr>
                <w:lang w:val="en-GB"/>
              </w:rPr>
              <w:t>4,690</w:t>
            </w:r>
          </w:p>
        </w:tc>
        <w:tc>
          <w:tcPr>
            <w:tcW w:w="1483" w:type="dxa"/>
            <w:gridSpan w:val="2"/>
            <w:vAlign w:val="center"/>
          </w:tcPr>
          <w:p w:rsidR="00F86D12" w:rsidRDefault="00F86D12" w:rsidP="00513943">
            <w:pPr>
              <w:jc w:val="right"/>
              <w:rPr>
                <w:lang w:val="en-GB"/>
              </w:rPr>
            </w:pPr>
            <w:r>
              <w:rPr>
                <w:lang w:val="en-GB"/>
              </w:rPr>
              <w:t>3,939</w:t>
            </w:r>
          </w:p>
        </w:tc>
      </w:tr>
      <w:tr w:rsidR="00F86D12" w:rsidTr="00D74A18">
        <w:trPr>
          <w:trHeight w:val="255"/>
        </w:trPr>
        <w:tc>
          <w:tcPr>
            <w:tcW w:w="4667" w:type="dxa"/>
            <w:tcBorders>
              <w:bottom w:val="nil"/>
            </w:tcBorders>
            <w:vAlign w:val="center"/>
          </w:tcPr>
          <w:p w:rsidR="00F86D12" w:rsidRDefault="00F86D12" w:rsidP="00513943">
            <w:pPr>
              <w:rPr>
                <w:color w:val="000000"/>
                <w:lang w:val="en-GB"/>
              </w:rPr>
            </w:pPr>
            <w:r>
              <w:rPr>
                <w:color w:val="000000"/>
                <w:lang w:val="en-GB"/>
              </w:rPr>
              <w:t>Donations</w:t>
            </w:r>
          </w:p>
        </w:tc>
        <w:tc>
          <w:tcPr>
            <w:tcW w:w="844" w:type="dxa"/>
            <w:tcBorders>
              <w:bottom w:val="nil"/>
            </w:tcBorders>
            <w:vAlign w:val="center"/>
          </w:tcPr>
          <w:p w:rsidR="00F86D12" w:rsidRDefault="00F86D12" w:rsidP="00513943">
            <w:pPr>
              <w:jc w:val="center"/>
              <w:rPr>
                <w:i/>
                <w:color w:val="000000"/>
                <w:lang w:val="en-GB"/>
              </w:rPr>
            </w:pPr>
          </w:p>
        </w:tc>
        <w:tc>
          <w:tcPr>
            <w:tcW w:w="2250" w:type="dxa"/>
            <w:tcBorders>
              <w:bottom w:val="nil"/>
            </w:tcBorders>
            <w:vAlign w:val="center"/>
          </w:tcPr>
          <w:p w:rsidR="00F86D12" w:rsidRPr="00A127CC" w:rsidRDefault="00F86D12" w:rsidP="00513943">
            <w:pPr>
              <w:ind w:right="-30"/>
              <w:jc w:val="right"/>
              <w:rPr>
                <w:lang w:val="en-GB"/>
              </w:rPr>
            </w:pPr>
            <w:r>
              <w:rPr>
                <w:lang w:val="en-GB"/>
              </w:rPr>
              <w:t>123</w:t>
            </w:r>
          </w:p>
        </w:tc>
        <w:tc>
          <w:tcPr>
            <w:tcW w:w="1483" w:type="dxa"/>
            <w:gridSpan w:val="2"/>
            <w:tcBorders>
              <w:bottom w:val="nil"/>
            </w:tcBorders>
            <w:vAlign w:val="center"/>
          </w:tcPr>
          <w:p w:rsidR="00F86D12" w:rsidRPr="00A127CC" w:rsidRDefault="00F86D12" w:rsidP="00513943">
            <w:pPr>
              <w:jc w:val="right"/>
              <w:rPr>
                <w:lang w:val="en-GB"/>
              </w:rPr>
            </w:pPr>
            <w:r>
              <w:rPr>
                <w:lang w:val="en-GB"/>
              </w:rPr>
              <w:t>1,115</w:t>
            </w:r>
          </w:p>
        </w:tc>
      </w:tr>
      <w:tr w:rsidR="00F86D12" w:rsidTr="00D74A18">
        <w:trPr>
          <w:trHeight w:val="255"/>
        </w:trPr>
        <w:tc>
          <w:tcPr>
            <w:tcW w:w="4667" w:type="dxa"/>
            <w:tcBorders>
              <w:bottom w:val="nil"/>
            </w:tcBorders>
            <w:vAlign w:val="center"/>
          </w:tcPr>
          <w:p w:rsidR="00F86D12" w:rsidRDefault="00F86D12" w:rsidP="00513943">
            <w:pPr>
              <w:rPr>
                <w:color w:val="000000"/>
                <w:lang w:val="en-GB"/>
              </w:rPr>
            </w:pPr>
            <w:r>
              <w:rPr>
                <w:color w:val="000000"/>
                <w:lang w:val="en-GB"/>
              </w:rPr>
              <w:t>Rent Revenue</w:t>
            </w:r>
          </w:p>
        </w:tc>
        <w:tc>
          <w:tcPr>
            <w:tcW w:w="844" w:type="dxa"/>
            <w:tcBorders>
              <w:bottom w:val="nil"/>
            </w:tcBorders>
            <w:vAlign w:val="center"/>
          </w:tcPr>
          <w:p w:rsidR="00F86D12" w:rsidRDefault="00F86D12" w:rsidP="00513943">
            <w:pPr>
              <w:jc w:val="center"/>
              <w:rPr>
                <w:i/>
                <w:color w:val="000000"/>
                <w:lang w:val="en-GB"/>
              </w:rPr>
            </w:pPr>
          </w:p>
        </w:tc>
        <w:tc>
          <w:tcPr>
            <w:tcW w:w="2250" w:type="dxa"/>
            <w:tcBorders>
              <w:bottom w:val="nil"/>
            </w:tcBorders>
            <w:vAlign w:val="center"/>
          </w:tcPr>
          <w:p w:rsidR="00F86D12" w:rsidRDefault="00F86D12" w:rsidP="00513943">
            <w:pPr>
              <w:ind w:right="-30"/>
              <w:jc w:val="right"/>
              <w:rPr>
                <w:lang w:val="en-GB"/>
              </w:rPr>
            </w:pPr>
            <w:r>
              <w:rPr>
                <w:lang w:val="en-GB"/>
              </w:rPr>
              <w:t xml:space="preserve"> 3,818</w:t>
            </w:r>
          </w:p>
        </w:tc>
        <w:tc>
          <w:tcPr>
            <w:tcW w:w="1483" w:type="dxa"/>
            <w:gridSpan w:val="2"/>
            <w:tcBorders>
              <w:bottom w:val="nil"/>
            </w:tcBorders>
            <w:vAlign w:val="center"/>
          </w:tcPr>
          <w:p w:rsidR="00F86D12" w:rsidRDefault="00F86D12" w:rsidP="00513943">
            <w:pPr>
              <w:jc w:val="right"/>
              <w:rPr>
                <w:lang w:val="en-GB"/>
              </w:rPr>
            </w:pPr>
            <w:r>
              <w:rPr>
                <w:lang w:val="en-GB"/>
              </w:rPr>
              <w:t>3,244</w:t>
            </w:r>
          </w:p>
        </w:tc>
      </w:tr>
      <w:tr w:rsidR="00F86D12" w:rsidTr="00D74A18">
        <w:tblPrEx>
          <w:tblBorders>
            <w:bottom w:val="none" w:sz="0" w:space="0" w:color="auto"/>
          </w:tblBorders>
          <w:tblCellMar>
            <w:left w:w="108" w:type="dxa"/>
            <w:right w:w="108" w:type="dxa"/>
          </w:tblCellMar>
        </w:tblPrEx>
        <w:trPr>
          <w:gridAfter w:val="1"/>
          <w:wAfter w:w="77" w:type="dxa"/>
          <w:trHeight w:val="255"/>
        </w:trPr>
        <w:tc>
          <w:tcPr>
            <w:tcW w:w="4667" w:type="dxa"/>
            <w:tcBorders>
              <w:bottom w:val="single" w:sz="4" w:space="0" w:color="auto"/>
            </w:tcBorders>
          </w:tcPr>
          <w:p w:rsidR="00F86D12" w:rsidRDefault="00F86D12" w:rsidP="00513943">
            <w:pPr>
              <w:ind w:hanging="78"/>
              <w:jc w:val="both"/>
              <w:rPr>
                <w:color w:val="000000"/>
                <w:lang w:val="en-GB"/>
              </w:rPr>
            </w:pPr>
            <w:r>
              <w:rPr>
                <w:color w:val="000000"/>
                <w:lang w:val="en-GB"/>
              </w:rPr>
              <w:t>Other Income</w:t>
            </w:r>
          </w:p>
        </w:tc>
        <w:tc>
          <w:tcPr>
            <w:tcW w:w="844" w:type="dxa"/>
            <w:tcBorders>
              <w:bottom w:val="single" w:sz="4" w:space="0" w:color="auto"/>
            </w:tcBorders>
          </w:tcPr>
          <w:p w:rsidR="00F86D12" w:rsidRPr="00B33B81" w:rsidRDefault="00F86D12" w:rsidP="00513943">
            <w:pPr>
              <w:jc w:val="center"/>
              <w:rPr>
                <w:color w:val="000000"/>
                <w:lang w:val="en-GB"/>
              </w:rPr>
            </w:pPr>
            <w:r w:rsidRPr="00B33B81">
              <w:rPr>
                <w:color w:val="000000"/>
                <w:lang w:val="en-GB"/>
              </w:rPr>
              <w:t xml:space="preserve">4 </w:t>
            </w:r>
          </w:p>
        </w:tc>
        <w:tc>
          <w:tcPr>
            <w:tcW w:w="2250" w:type="dxa"/>
            <w:tcBorders>
              <w:bottom w:val="single" w:sz="4" w:space="0" w:color="auto"/>
            </w:tcBorders>
          </w:tcPr>
          <w:p w:rsidR="00F86D12" w:rsidRPr="00A127CC" w:rsidRDefault="00F86D12" w:rsidP="00513943">
            <w:pPr>
              <w:ind w:right="-108"/>
              <w:jc w:val="right"/>
              <w:rPr>
                <w:lang w:val="en-GB"/>
              </w:rPr>
            </w:pPr>
            <w:r>
              <w:rPr>
                <w:lang w:val="en-GB"/>
              </w:rPr>
              <w:t>5,450</w:t>
            </w:r>
          </w:p>
        </w:tc>
        <w:tc>
          <w:tcPr>
            <w:tcW w:w="1406" w:type="dxa"/>
            <w:tcBorders>
              <w:bottom w:val="single" w:sz="4" w:space="0" w:color="auto"/>
            </w:tcBorders>
          </w:tcPr>
          <w:p w:rsidR="00F86D12" w:rsidRPr="00A127CC" w:rsidRDefault="00F86D12" w:rsidP="00513943">
            <w:pPr>
              <w:ind w:right="-108"/>
              <w:jc w:val="right"/>
              <w:rPr>
                <w:lang w:val="en-GB"/>
              </w:rPr>
            </w:pPr>
            <w:r>
              <w:rPr>
                <w:lang w:val="en-GB"/>
              </w:rPr>
              <w:t>6,478</w:t>
            </w:r>
          </w:p>
        </w:tc>
      </w:tr>
      <w:tr w:rsidR="00F86D12" w:rsidTr="00D74A18">
        <w:tblPrEx>
          <w:tblBorders>
            <w:bottom w:val="none" w:sz="0" w:space="0" w:color="auto"/>
          </w:tblBorders>
          <w:tblCellMar>
            <w:left w:w="108" w:type="dxa"/>
            <w:right w:w="108" w:type="dxa"/>
          </w:tblCellMar>
        </w:tblPrEx>
        <w:trPr>
          <w:gridAfter w:val="1"/>
          <w:wAfter w:w="77" w:type="dxa"/>
          <w:trHeight w:val="457"/>
        </w:trPr>
        <w:tc>
          <w:tcPr>
            <w:tcW w:w="4667" w:type="dxa"/>
            <w:tcBorders>
              <w:bottom w:val="single" w:sz="4" w:space="0" w:color="auto"/>
            </w:tcBorders>
            <w:vAlign w:val="center"/>
          </w:tcPr>
          <w:p w:rsidR="00F86D12" w:rsidRPr="00817E6C" w:rsidRDefault="00F86D12" w:rsidP="00513943">
            <w:pPr>
              <w:pStyle w:val="Heading2"/>
              <w:rPr>
                <w:rFonts w:ascii="Arial Bold" w:hAnsi="Arial Bold"/>
                <w:sz w:val="20"/>
              </w:rPr>
            </w:pPr>
          </w:p>
        </w:tc>
        <w:tc>
          <w:tcPr>
            <w:tcW w:w="844" w:type="dxa"/>
            <w:tcBorders>
              <w:bottom w:val="single" w:sz="4" w:space="0" w:color="auto"/>
            </w:tcBorders>
            <w:vAlign w:val="center"/>
          </w:tcPr>
          <w:p w:rsidR="00F86D12" w:rsidRDefault="00F86D12" w:rsidP="00513943">
            <w:pPr>
              <w:rPr>
                <w:i/>
                <w:color w:val="000000"/>
                <w:lang w:val="en-GB"/>
              </w:rPr>
            </w:pPr>
          </w:p>
        </w:tc>
        <w:tc>
          <w:tcPr>
            <w:tcW w:w="2250" w:type="dxa"/>
            <w:tcBorders>
              <w:bottom w:val="single" w:sz="4" w:space="0" w:color="auto"/>
            </w:tcBorders>
            <w:vAlign w:val="center"/>
          </w:tcPr>
          <w:p w:rsidR="00F86D12" w:rsidRDefault="00F86D12" w:rsidP="00513943">
            <w:pPr>
              <w:ind w:right="-108"/>
              <w:jc w:val="right"/>
              <w:rPr>
                <w:b/>
                <w:color w:val="000000"/>
                <w:lang w:val="en-GB"/>
              </w:rPr>
            </w:pPr>
            <w:r>
              <w:rPr>
                <w:b/>
                <w:color w:val="000000"/>
                <w:lang w:val="en-GB"/>
              </w:rPr>
              <w:t>116,940</w:t>
            </w:r>
          </w:p>
        </w:tc>
        <w:tc>
          <w:tcPr>
            <w:tcW w:w="1406" w:type="dxa"/>
            <w:tcBorders>
              <w:bottom w:val="single" w:sz="4" w:space="0" w:color="auto"/>
            </w:tcBorders>
            <w:vAlign w:val="center"/>
          </w:tcPr>
          <w:p w:rsidR="00F86D12" w:rsidRDefault="00F86D12" w:rsidP="00513943">
            <w:pPr>
              <w:ind w:right="-108"/>
              <w:jc w:val="right"/>
              <w:rPr>
                <w:b/>
                <w:color w:val="000000"/>
                <w:lang w:val="en-GB"/>
              </w:rPr>
            </w:pPr>
            <w:r>
              <w:rPr>
                <w:b/>
                <w:color w:val="000000"/>
                <w:lang w:val="en-GB"/>
              </w:rPr>
              <w:t>118,851</w:t>
            </w:r>
          </w:p>
        </w:tc>
      </w:tr>
      <w:tr w:rsidR="00F86D12" w:rsidTr="00D74A18">
        <w:tblPrEx>
          <w:tblBorders>
            <w:bottom w:val="none" w:sz="0" w:space="0" w:color="auto"/>
          </w:tblBorders>
          <w:tblCellMar>
            <w:left w:w="108" w:type="dxa"/>
            <w:right w:w="108" w:type="dxa"/>
          </w:tblCellMar>
        </w:tblPrEx>
        <w:trPr>
          <w:gridAfter w:val="1"/>
          <w:wAfter w:w="77" w:type="dxa"/>
          <w:trHeight w:val="293"/>
        </w:trPr>
        <w:tc>
          <w:tcPr>
            <w:tcW w:w="4667" w:type="dxa"/>
            <w:tcBorders>
              <w:top w:val="single" w:sz="4" w:space="0" w:color="auto"/>
            </w:tcBorders>
          </w:tcPr>
          <w:p w:rsidR="00F86D12" w:rsidRDefault="00F86D12" w:rsidP="00513943">
            <w:pPr>
              <w:pStyle w:val="Heading2"/>
              <w:ind w:hanging="79"/>
              <w:rPr>
                <w:i/>
                <w:sz w:val="20"/>
              </w:rPr>
            </w:pPr>
            <w:r>
              <w:rPr>
                <w:sz w:val="20"/>
              </w:rPr>
              <w:t>Expenses from transactions</w:t>
            </w:r>
          </w:p>
        </w:tc>
        <w:tc>
          <w:tcPr>
            <w:tcW w:w="844" w:type="dxa"/>
            <w:tcBorders>
              <w:top w:val="single" w:sz="4" w:space="0" w:color="auto"/>
            </w:tcBorders>
          </w:tcPr>
          <w:p w:rsidR="00F86D12" w:rsidRDefault="00F86D12" w:rsidP="00513943">
            <w:pPr>
              <w:jc w:val="center"/>
              <w:rPr>
                <w:i/>
                <w:color w:val="000000"/>
                <w:lang w:val="en-GB"/>
              </w:rPr>
            </w:pPr>
          </w:p>
        </w:tc>
        <w:tc>
          <w:tcPr>
            <w:tcW w:w="2250" w:type="dxa"/>
            <w:tcBorders>
              <w:top w:val="single" w:sz="4" w:space="0" w:color="auto"/>
            </w:tcBorders>
          </w:tcPr>
          <w:p w:rsidR="00F86D12" w:rsidRDefault="00F86D12" w:rsidP="00513943">
            <w:pPr>
              <w:jc w:val="right"/>
              <w:rPr>
                <w:color w:val="000000"/>
                <w:lang w:val="en-GB"/>
              </w:rPr>
            </w:pPr>
          </w:p>
        </w:tc>
        <w:tc>
          <w:tcPr>
            <w:tcW w:w="1406" w:type="dxa"/>
            <w:tcBorders>
              <w:top w:val="single" w:sz="4" w:space="0" w:color="auto"/>
            </w:tcBorders>
          </w:tcPr>
          <w:p w:rsidR="00F86D12" w:rsidRDefault="00F86D12" w:rsidP="00513943">
            <w:pPr>
              <w:jc w:val="right"/>
              <w:rPr>
                <w:color w:val="000000"/>
                <w:lang w:val="en-GB"/>
              </w:rPr>
            </w:pPr>
          </w:p>
        </w:tc>
      </w:tr>
      <w:tr w:rsidR="00F86D12" w:rsidTr="00D74A18">
        <w:trPr>
          <w:trHeight w:val="255"/>
        </w:trPr>
        <w:tc>
          <w:tcPr>
            <w:tcW w:w="4667" w:type="dxa"/>
            <w:vAlign w:val="center"/>
          </w:tcPr>
          <w:p w:rsidR="00F86D12" w:rsidRPr="006B1EB6" w:rsidRDefault="00F86D12" w:rsidP="00513943">
            <w:r w:rsidRPr="006B1EB6">
              <w:t>Employee Expenses</w:t>
            </w:r>
          </w:p>
        </w:tc>
        <w:tc>
          <w:tcPr>
            <w:tcW w:w="844" w:type="dxa"/>
            <w:vAlign w:val="center"/>
          </w:tcPr>
          <w:p w:rsidR="00F86D12" w:rsidRPr="006B1EB6" w:rsidRDefault="00F86D12" w:rsidP="00513943">
            <w:pPr>
              <w:jc w:val="center"/>
              <w:rPr>
                <w:color w:val="000000"/>
                <w:lang w:val="en-GB"/>
              </w:rPr>
            </w:pPr>
            <w:r w:rsidRPr="006B1EB6">
              <w:rPr>
                <w:color w:val="000000"/>
                <w:lang w:val="en-GB"/>
              </w:rPr>
              <w:t>5(a)</w:t>
            </w:r>
          </w:p>
        </w:tc>
        <w:tc>
          <w:tcPr>
            <w:tcW w:w="2250" w:type="dxa"/>
            <w:vAlign w:val="center"/>
          </w:tcPr>
          <w:p w:rsidR="00F86D12" w:rsidRPr="006B1EB6" w:rsidRDefault="00F86D12" w:rsidP="00513943">
            <w:pPr>
              <w:ind w:right="-30"/>
              <w:jc w:val="right"/>
              <w:rPr>
                <w:color w:val="000000"/>
                <w:lang w:val="en-GB"/>
              </w:rPr>
            </w:pPr>
            <w:r>
              <w:rPr>
                <w:color w:val="000000"/>
                <w:lang w:val="en-GB"/>
              </w:rPr>
              <w:t>(40,539)</w:t>
            </w:r>
          </w:p>
        </w:tc>
        <w:tc>
          <w:tcPr>
            <w:tcW w:w="1483" w:type="dxa"/>
            <w:gridSpan w:val="2"/>
            <w:vAlign w:val="center"/>
          </w:tcPr>
          <w:p w:rsidR="00F86D12" w:rsidRPr="006B1EB6" w:rsidRDefault="00F86D12" w:rsidP="00513943">
            <w:pPr>
              <w:jc w:val="right"/>
              <w:rPr>
                <w:color w:val="000000"/>
                <w:lang w:val="en-GB"/>
              </w:rPr>
            </w:pPr>
            <w:r w:rsidRPr="006B1EB6">
              <w:rPr>
                <w:color w:val="000000"/>
                <w:lang w:val="en-GB"/>
              </w:rPr>
              <w:t>(</w:t>
            </w:r>
            <w:r>
              <w:rPr>
                <w:color w:val="000000"/>
                <w:lang w:val="en-GB"/>
              </w:rPr>
              <w:t>38,176</w:t>
            </w:r>
            <w:r w:rsidRPr="006B1EB6">
              <w:rPr>
                <w:color w:val="000000"/>
                <w:lang w:val="en-GB"/>
              </w:rPr>
              <w:t>)</w:t>
            </w:r>
          </w:p>
        </w:tc>
      </w:tr>
      <w:tr w:rsidR="00F86D12" w:rsidTr="00D74A18">
        <w:trPr>
          <w:trHeight w:val="255"/>
        </w:trPr>
        <w:tc>
          <w:tcPr>
            <w:tcW w:w="4667" w:type="dxa"/>
            <w:vAlign w:val="center"/>
          </w:tcPr>
          <w:p w:rsidR="00F86D12" w:rsidRPr="006B1EB6" w:rsidRDefault="00F86D12" w:rsidP="00513943">
            <w:r w:rsidRPr="006B1EB6">
              <w:t>Cost of Goods Sold</w:t>
            </w:r>
          </w:p>
        </w:tc>
        <w:tc>
          <w:tcPr>
            <w:tcW w:w="844" w:type="dxa"/>
            <w:vAlign w:val="center"/>
          </w:tcPr>
          <w:p w:rsidR="00F86D12" w:rsidRPr="006B1EB6" w:rsidRDefault="00F86D12" w:rsidP="00513943">
            <w:pPr>
              <w:jc w:val="center"/>
              <w:rPr>
                <w:i/>
                <w:color w:val="000000"/>
                <w:lang w:val="en-GB"/>
              </w:rPr>
            </w:pPr>
          </w:p>
        </w:tc>
        <w:tc>
          <w:tcPr>
            <w:tcW w:w="2250" w:type="dxa"/>
            <w:vAlign w:val="center"/>
          </w:tcPr>
          <w:p w:rsidR="00F86D12" w:rsidRPr="003C3E50" w:rsidRDefault="00F86D12" w:rsidP="00513943">
            <w:pPr>
              <w:ind w:right="-30"/>
              <w:jc w:val="right"/>
              <w:rPr>
                <w:color w:val="000000"/>
                <w:lang w:val="en-GB"/>
              </w:rPr>
            </w:pPr>
            <w:r w:rsidRPr="003C3E50">
              <w:rPr>
                <w:color w:val="000000"/>
                <w:lang w:val="en-GB"/>
              </w:rPr>
              <w:t>(1,682)</w:t>
            </w:r>
          </w:p>
        </w:tc>
        <w:tc>
          <w:tcPr>
            <w:tcW w:w="1483" w:type="dxa"/>
            <w:gridSpan w:val="2"/>
            <w:vAlign w:val="center"/>
          </w:tcPr>
          <w:p w:rsidR="00F86D12" w:rsidRPr="006B1EB6" w:rsidRDefault="00F86D12" w:rsidP="00513943">
            <w:pPr>
              <w:jc w:val="right"/>
              <w:rPr>
                <w:color w:val="000000"/>
                <w:sz w:val="18"/>
                <w:lang w:val="en-GB"/>
              </w:rPr>
            </w:pPr>
            <w:r w:rsidRPr="006B1EB6">
              <w:rPr>
                <w:color w:val="000000"/>
                <w:lang w:val="en-GB"/>
              </w:rPr>
              <w:t>(</w:t>
            </w:r>
            <w:r>
              <w:rPr>
                <w:color w:val="000000"/>
                <w:lang w:val="en-GB"/>
              </w:rPr>
              <w:t>1,599</w:t>
            </w:r>
            <w:r w:rsidRPr="006B1EB6">
              <w:rPr>
                <w:color w:val="000000"/>
                <w:lang w:val="en-GB"/>
              </w:rPr>
              <w:t>)</w:t>
            </w:r>
          </w:p>
        </w:tc>
      </w:tr>
      <w:tr w:rsidR="00F86D12" w:rsidTr="00D74A18">
        <w:trPr>
          <w:trHeight w:val="255"/>
        </w:trPr>
        <w:tc>
          <w:tcPr>
            <w:tcW w:w="4667" w:type="dxa"/>
            <w:vAlign w:val="center"/>
          </w:tcPr>
          <w:p w:rsidR="00F86D12" w:rsidRPr="006B1EB6" w:rsidRDefault="00F86D12" w:rsidP="00513943">
            <w:r w:rsidRPr="006B1EB6">
              <w:t>Finance Costs</w:t>
            </w:r>
          </w:p>
        </w:tc>
        <w:tc>
          <w:tcPr>
            <w:tcW w:w="844" w:type="dxa"/>
            <w:vAlign w:val="center"/>
          </w:tcPr>
          <w:p w:rsidR="00F86D12" w:rsidRPr="006B1EB6" w:rsidRDefault="00F86D12" w:rsidP="00513943">
            <w:pPr>
              <w:jc w:val="center"/>
              <w:rPr>
                <w:i/>
                <w:color w:val="000000"/>
                <w:lang w:val="en-GB"/>
              </w:rPr>
            </w:pPr>
          </w:p>
        </w:tc>
        <w:tc>
          <w:tcPr>
            <w:tcW w:w="2250" w:type="dxa"/>
            <w:vAlign w:val="center"/>
          </w:tcPr>
          <w:p w:rsidR="00F86D12" w:rsidRPr="003C3E50" w:rsidRDefault="00F86D12" w:rsidP="00513943">
            <w:pPr>
              <w:ind w:right="-30"/>
              <w:jc w:val="right"/>
              <w:rPr>
                <w:color w:val="000000"/>
                <w:lang w:val="en-GB"/>
              </w:rPr>
            </w:pPr>
            <w:r>
              <w:rPr>
                <w:color w:val="000000"/>
                <w:lang w:val="en-GB"/>
              </w:rPr>
              <w:t>(</w:t>
            </w:r>
            <w:r w:rsidRPr="003C3E50">
              <w:rPr>
                <w:color w:val="000000"/>
                <w:lang w:val="en-GB"/>
              </w:rPr>
              <w:t>20</w:t>
            </w:r>
            <w:r>
              <w:rPr>
                <w:color w:val="000000"/>
                <w:lang w:val="en-GB"/>
              </w:rPr>
              <w:t>)</w:t>
            </w:r>
          </w:p>
        </w:tc>
        <w:tc>
          <w:tcPr>
            <w:tcW w:w="1483" w:type="dxa"/>
            <w:gridSpan w:val="2"/>
            <w:vAlign w:val="center"/>
          </w:tcPr>
          <w:p w:rsidR="00F86D12" w:rsidRPr="006B1EB6" w:rsidRDefault="00F86D12" w:rsidP="00513943">
            <w:pPr>
              <w:jc w:val="right"/>
              <w:rPr>
                <w:color w:val="000000"/>
                <w:sz w:val="18"/>
                <w:lang w:val="en-GB"/>
              </w:rPr>
            </w:pPr>
            <w:r w:rsidRPr="006B1EB6">
              <w:rPr>
                <w:color w:val="000000"/>
                <w:lang w:val="en-GB"/>
              </w:rPr>
              <w:t>(</w:t>
            </w:r>
            <w:r>
              <w:rPr>
                <w:color w:val="000000"/>
                <w:lang w:val="en-GB"/>
              </w:rPr>
              <w:t>26</w:t>
            </w:r>
            <w:r w:rsidRPr="006B1EB6">
              <w:rPr>
                <w:color w:val="000000"/>
                <w:lang w:val="en-GB"/>
              </w:rPr>
              <w:t>)</w:t>
            </w:r>
          </w:p>
        </w:tc>
      </w:tr>
      <w:tr w:rsidR="00F86D12" w:rsidTr="00D74A18">
        <w:tblPrEx>
          <w:tblBorders>
            <w:bottom w:val="none" w:sz="0" w:space="0" w:color="auto"/>
          </w:tblBorders>
          <w:tblCellMar>
            <w:left w:w="108" w:type="dxa"/>
            <w:right w:w="108" w:type="dxa"/>
          </w:tblCellMar>
        </w:tblPrEx>
        <w:trPr>
          <w:gridAfter w:val="1"/>
          <w:wAfter w:w="77" w:type="dxa"/>
          <w:trHeight w:val="255"/>
        </w:trPr>
        <w:tc>
          <w:tcPr>
            <w:tcW w:w="4667" w:type="dxa"/>
          </w:tcPr>
          <w:p w:rsidR="00F86D12" w:rsidRPr="006B1EB6" w:rsidRDefault="00F86D12" w:rsidP="00513943">
            <w:pPr>
              <w:ind w:hanging="78"/>
            </w:pPr>
            <w:r w:rsidRPr="006B1EB6">
              <w:t>Capital Asset Charge</w:t>
            </w:r>
          </w:p>
        </w:tc>
        <w:tc>
          <w:tcPr>
            <w:tcW w:w="844" w:type="dxa"/>
          </w:tcPr>
          <w:p w:rsidR="00F86D12" w:rsidRPr="006B1EB6" w:rsidRDefault="00F86D12" w:rsidP="00513943">
            <w:pPr>
              <w:jc w:val="center"/>
              <w:rPr>
                <w:color w:val="000000"/>
                <w:lang w:val="en-GB"/>
              </w:rPr>
            </w:pPr>
            <w:r w:rsidRPr="006B1EB6">
              <w:rPr>
                <w:color w:val="000000"/>
                <w:lang w:val="en-GB"/>
              </w:rPr>
              <w:t>1(k)</w:t>
            </w:r>
          </w:p>
        </w:tc>
        <w:tc>
          <w:tcPr>
            <w:tcW w:w="2250" w:type="dxa"/>
          </w:tcPr>
          <w:p w:rsidR="00F86D12" w:rsidRPr="003C3E50" w:rsidRDefault="00F86D12" w:rsidP="00513943">
            <w:pPr>
              <w:ind w:right="-108"/>
              <w:jc w:val="right"/>
              <w:rPr>
                <w:color w:val="000000"/>
                <w:lang w:val="en-GB"/>
              </w:rPr>
            </w:pPr>
            <w:r>
              <w:rPr>
                <w:color w:val="000000"/>
                <w:lang w:val="en-GB"/>
              </w:rPr>
              <w:t>(</w:t>
            </w:r>
            <w:r w:rsidRPr="003C3E50">
              <w:rPr>
                <w:color w:val="000000"/>
                <w:lang w:val="en-GB"/>
              </w:rPr>
              <w:t>37,919</w:t>
            </w:r>
            <w:r>
              <w:rPr>
                <w:color w:val="000000"/>
                <w:lang w:val="en-GB"/>
              </w:rPr>
              <w:t>)</w:t>
            </w:r>
          </w:p>
        </w:tc>
        <w:tc>
          <w:tcPr>
            <w:tcW w:w="1406" w:type="dxa"/>
          </w:tcPr>
          <w:p w:rsidR="00F86D12" w:rsidRPr="006B1EB6" w:rsidRDefault="00F86D12" w:rsidP="00513943">
            <w:pPr>
              <w:ind w:right="-108"/>
              <w:jc w:val="right"/>
              <w:rPr>
                <w:color w:val="000000"/>
                <w:sz w:val="18"/>
                <w:lang w:val="en-GB"/>
              </w:rPr>
            </w:pPr>
            <w:r w:rsidRPr="006B1EB6">
              <w:rPr>
                <w:color w:val="000000"/>
                <w:lang w:val="en-GB"/>
              </w:rPr>
              <w:t>(</w:t>
            </w:r>
            <w:r>
              <w:rPr>
                <w:color w:val="000000"/>
                <w:lang w:val="en-GB"/>
              </w:rPr>
              <w:t>37,926</w:t>
            </w:r>
            <w:r w:rsidRPr="006B1EB6">
              <w:rPr>
                <w:color w:val="000000"/>
                <w:lang w:val="en-GB"/>
              </w:rPr>
              <w:t>)</w:t>
            </w:r>
          </w:p>
        </w:tc>
      </w:tr>
      <w:tr w:rsidR="00F86D12" w:rsidRPr="00EB4C1B" w:rsidTr="00D74A18">
        <w:tblPrEx>
          <w:tblBorders>
            <w:bottom w:val="none" w:sz="0" w:space="0" w:color="auto"/>
          </w:tblBorders>
          <w:tblCellMar>
            <w:left w:w="108" w:type="dxa"/>
            <w:right w:w="108" w:type="dxa"/>
          </w:tblCellMar>
        </w:tblPrEx>
        <w:trPr>
          <w:gridAfter w:val="1"/>
          <w:wAfter w:w="77" w:type="dxa"/>
          <w:trHeight w:val="255"/>
        </w:trPr>
        <w:tc>
          <w:tcPr>
            <w:tcW w:w="4667" w:type="dxa"/>
          </w:tcPr>
          <w:p w:rsidR="00F86D12" w:rsidRPr="006B1EB6" w:rsidRDefault="00F86D12" w:rsidP="00513943">
            <w:pPr>
              <w:ind w:hanging="78"/>
            </w:pPr>
            <w:r w:rsidRPr="006B1EB6">
              <w:t>Buildings and Facilities</w:t>
            </w:r>
          </w:p>
        </w:tc>
        <w:tc>
          <w:tcPr>
            <w:tcW w:w="844" w:type="dxa"/>
          </w:tcPr>
          <w:p w:rsidR="00F86D12" w:rsidRPr="006B1EB6" w:rsidRDefault="00F86D12" w:rsidP="00513943">
            <w:pPr>
              <w:jc w:val="center"/>
              <w:rPr>
                <w:color w:val="000000"/>
                <w:lang w:val="en-GB"/>
              </w:rPr>
            </w:pPr>
          </w:p>
        </w:tc>
        <w:tc>
          <w:tcPr>
            <w:tcW w:w="2250" w:type="dxa"/>
          </w:tcPr>
          <w:p w:rsidR="00F86D12" w:rsidRPr="003C3E50" w:rsidRDefault="00F86D12" w:rsidP="00513943">
            <w:pPr>
              <w:ind w:right="-108"/>
              <w:jc w:val="right"/>
              <w:rPr>
                <w:color w:val="000000"/>
                <w:lang w:val="en-GB"/>
              </w:rPr>
            </w:pPr>
            <w:r>
              <w:rPr>
                <w:color w:val="000000"/>
                <w:lang w:val="en-GB"/>
              </w:rPr>
              <w:t>(13,921)</w:t>
            </w:r>
          </w:p>
        </w:tc>
        <w:tc>
          <w:tcPr>
            <w:tcW w:w="1406" w:type="dxa"/>
          </w:tcPr>
          <w:p w:rsidR="00F86D12" w:rsidRPr="006B1EB6" w:rsidRDefault="00F86D12" w:rsidP="00513943">
            <w:pPr>
              <w:ind w:right="-108"/>
              <w:jc w:val="right"/>
              <w:rPr>
                <w:color w:val="000000"/>
                <w:sz w:val="18"/>
                <w:lang w:val="en-GB"/>
              </w:rPr>
            </w:pPr>
            <w:r w:rsidRPr="006B1EB6">
              <w:rPr>
                <w:color w:val="000000"/>
                <w:lang w:val="en-GB"/>
              </w:rPr>
              <w:t>(</w:t>
            </w:r>
            <w:r>
              <w:rPr>
                <w:color w:val="000000"/>
                <w:lang w:val="en-GB"/>
              </w:rPr>
              <w:t>13,007</w:t>
            </w:r>
            <w:r w:rsidRPr="006B1EB6">
              <w:rPr>
                <w:color w:val="000000"/>
                <w:lang w:val="en-GB"/>
              </w:rPr>
              <w:t>)</w:t>
            </w:r>
          </w:p>
        </w:tc>
      </w:tr>
      <w:tr w:rsidR="00F86D12" w:rsidTr="00D74A18">
        <w:tblPrEx>
          <w:tblBorders>
            <w:bottom w:val="none" w:sz="0" w:space="0" w:color="auto"/>
          </w:tblBorders>
          <w:tblCellMar>
            <w:left w:w="108" w:type="dxa"/>
            <w:right w:w="108" w:type="dxa"/>
          </w:tblCellMar>
        </w:tblPrEx>
        <w:trPr>
          <w:gridAfter w:val="1"/>
          <w:wAfter w:w="77" w:type="dxa"/>
          <w:trHeight w:val="255"/>
        </w:trPr>
        <w:tc>
          <w:tcPr>
            <w:tcW w:w="4667" w:type="dxa"/>
          </w:tcPr>
          <w:p w:rsidR="00F86D12" w:rsidRPr="006B1EB6" w:rsidRDefault="00F86D12" w:rsidP="00513943">
            <w:pPr>
              <w:ind w:hanging="78"/>
            </w:pPr>
            <w:r>
              <w:t>Consumables and Corporate Expenses</w:t>
            </w:r>
          </w:p>
        </w:tc>
        <w:tc>
          <w:tcPr>
            <w:tcW w:w="844" w:type="dxa"/>
          </w:tcPr>
          <w:p w:rsidR="00F86D12" w:rsidRPr="006B1EB6" w:rsidRDefault="00F86D12" w:rsidP="00513943">
            <w:pPr>
              <w:jc w:val="center"/>
              <w:rPr>
                <w:color w:val="000000"/>
                <w:lang w:val="en-GB"/>
              </w:rPr>
            </w:pPr>
          </w:p>
        </w:tc>
        <w:tc>
          <w:tcPr>
            <w:tcW w:w="2250" w:type="dxa"/>
          </w:tcPr>
          <w:p w:rsidR="00F86D12" w:rsidRPr="003C3E50" w:rsidRDefault="00F86D12" w:rsidP="00513943">
            <w:pPr>
              <w:ind w:right="-108"/>
              <w:jc w:val="right"/>
              <w:rPr>
                <w:color w:val="000000"/>
                <w:lang w:val="en-GB"/>
              </w:rPr>
            </w:pPr>
            <w:r>
              <w:rPr>
                <w:color w:val="000000"/>
                <w:lang w:val="en-GB"/>
              </w:rPr>
              <w:t>(9,951)</w:t>
            </w:r>
          </w:p>
        </w:tc>
        <w:tc>
          <w:tcPr>
            <w:tcW w:w="1406" w:type="dxa"/>
          </w:tcPr>
          <w:p w:rsidR="00F86D12" w:rsidRPr="006B1EB6" w:rsidRDefault="00F86D12" w:rsidP="00513943">
            <w:pPr>
              <w:ind w:right="-108"/>
              <w:jc w:val="right"/>
              <w:rPr>
                <w:color w:val="000000"/>
                <w:lang w:val="en-GB"/>
              </w:rPr>
            </w:pPr>
            <w:r>
              <w:rPr>
                <w:color w:val="000000"/>
                <w:lang w:val="en-GB"/>
              </w:rPr>
              <w:t>(8,774)</w:t>
            </w:r>
          </w:p>
        </w:tc>
      </w:tr>
      <w:tr w:rsidR="00F86D12" w:rsidTr="00D74A18">
        <w:tblPrEx>
          <w:tblBorders>
            <w:bottom w:val="none" w:sz="0" w:space="0" w:color="auto"/>
          </w:tblBorders>
          <w:tblCellMar>
            <w:left w:w="108" w:type="dxa"/>
            <w:right w:w="108" w:type="dxa"/>
          </w:tblCellMar>
        </w:tblPrEx>
        <w:trPr>
          <w:gridAfter w:val="1"/>
          <w:wAfter w:w="77" w:type="dxa"/>
          <w:trHeight w:val="255"/>
        </w:trPr>
        <w:tc>
          <w:tcPr>
            <w:tcW w:w="4667" w:type="dxa"/>
            <w:tcBorders>
              <w:bottom w:val="single" w:sz="4" w:space="0" w:color="auto"/>
            </w:tcBorders>
          </w:tcPr>
          <w:p w:rsidR="00F86D12" w:rsidRPr="006B1EB6" w:rsidRDefault="00F86D12" w:rsidP="00513943">
            <w:pPr>
              <w:ind w:hanging="78"/>
            </w:pPr>
            <w:r w:rsidRPr="006B1EB6">
              <w:t>Other Operating Expenses</w:t>
            </w:r>
          </w:p>
        </w:tc>
        <w:tc>
          <w:tcPr>
            <w:tcW w:w="844" w:type="dxa"/>
            <w:tcBorders>
              <w:bottom w:val="single" w:sz="4" w:space="0" w:color="auto"/>
            </w:tcBorders>
          </w:tcPr>
          <w:p w:rsidR="00F86D12" w:rsidRPr="006B1EB6" w:rsidRDefault="00F86D12" w:rsidP="00513943">
            <w:pPr>
              <w:jc w:val="center"/>
              <w:rPr>
                <w:color w:val="000000"/>
                <w:lang w:val="en-GB"/>
              </w:rPr>
            </w:pPr>
            <w:r w:rsidRPr="006B1EB6">
              <w:rPr>
                <w:color w:val="000000"/>
                <w:lang w:val="en-GB"/>
              </w:rPr>
              <w:t>5(b)</w:t>
            </w:r>
          </w:p>
        </w:tc>
        <w:tc>
          <w:tcPr>
            <w:tcW w:w="2250" w:type="dxa"/>
            <w:tcBorders>
              <w:bottom w:val="single" w:sz="4" w:space="0" w:color="auto"/>
            </w:tcBorders>
          </w:tcPr>
          <w:p w:rsidR="00F86D12" w:rsidRPr="003C3E50" w:rsidRDefault="00F86D12" w:rsidP="00513943">
            <w:pPr>
              <w:ind w:right="-108"/>
              <w:jc w:val="right"/>
              <w:rPr>
                <w:color w:val="000000"/>
                <w:lang w:val="en-GB"/>
              </w:rPr>
            </w:pPr>
            <w:r>
              <w:rPr>
                <w:color w:val="000000"/>
                <w:lang w:val="en-GB"/>
              </w:rPr>
              <w:t>(11,914)</w:t>
            </w:r>
          </w:p>
        </w:tc>
        <w:tc>
          <w:tcPr>
            <w:tcW w:w="1406" w:type="dxa"/>
            <w:tcBorders>
              <w:bottom w:val="single" w:sz="4" w:space="0" w:color="auto"/>
            </w:tcBorders>
          </w:tcPr>
          <w:p w:rsidR="00F86D12" w:rsidRPr="006B1EB6" w:rsidRDefault="00F86D12" w:rsidP="00513943">
            <w:pPr>
              <w:ind w:right="-108"/>
              <w:jc w:val="right"/>
              <w:rPr>
                <w:color w:val="000000"/>
                <w:sz w:val="18"/>
                <w:lang w:val="en-GB"/>
              </w:rPr>
            </w:pPr>
            <w:r w:rsidRPr="006B1EB6">
              <w:rPr>
                <w:color w:val="000000"/>
                <w:lang w:val="en-GB"/>
              </w:rPr>
              <w:t>(</w:t>
            </w:r>
            <w:r>
              <w:rPr>
                <w:color w:val="000000"/>
                <w:lang w:val="en-GB"/>
              </w:rPr>
              <w:t>11,002</w:t>
            </w:r>
            <w:r w:rsidRPr="006B1EB6">
              <w:rPr>
                <w:color w:val="000000"/>
                <w:lang w:val="en-GB"/>
              </w:rPr>
              <w:t>)</w:t>
            </w:r>
          </w:p>
        </w:tc>
      </w:tr>
      <w:tr w:rsidR="00F86D12" w:rsidTr="00D74A18">
        <w:tblPrEx>
          <w:tblBorders>
            <w:bottom w:val="none" w:sz="0" w:space="0" w:color="auto"/>
          </w:tblBorders>
          <w:tblCellMar>
            <w:left w:w="108" w:type="dxa"/>
            <w:right w:w="108" w:type="dxa"/>
          </w:tblCellMar>
        </w:tblPrEx>
        <w:trPr>
          <w:gridAfter w:val="1"/>
          <w:wAfter w:w="77" w:type="dxa"/>
          <w:trHeight w:val="500"/>
        </w:trPr>
        <w:tc>
          <w:tcPr>
            <w:tcW w:w="4667" w:type="dxa"/>
            <w:tcBorders>
              <w:top w:val="single" w:sz="4" w:space="0" w:color="auto"/>
              <w:bottom w:val="single" w:sz="4" w:space="0" w:color="auto"/>
            </w:tcBorders>
            <w:vAlign w:val="center"/>
          </w:tcPr>
          <w:p w:rsidR="00F86D12" w:rsidRDefault="00F86D12" w:rsidP="00513943"/>
        </w:tc>
        <w:tc>
          <w:tcPr>
            <w:tcW w:w="844" w:type="dxa"/>
            <w:tcBorders>
              <w:top w:val="single" w:sz="4" w:space="0" w:color="auto"/>
              <w:bottom w:val="single" w:sz="4" w:space="0" w:color="auto"/>
            </w:tcBorders>
            <w:vAlign w:val="center"/>
          </w:tcPr>
          <w:p w:rsidR="00F86D12" w:rsidRDefault="00F86D12" w:rsidP="00513943">
            <w:pPr>
              <w:rPr>
                <w:i/>
                <w:color w:val="000000"/>
                <w:lang w:val="en-GB"/>
              </w:rPr>
            </w:pPr>
          </w:p>
        </w:tc>
        <w:tc>
          <w:tcPr>
            <w:tcW w:w="2250" w:type="dxa"/>
            <w:tcBorders>
              <w:top w:val="single" w:sz="4" w:space="0" w:color="auto"/>
              <w:bottom w:val="single" w:sz="4" w:space="0" w:color="auto"/>
            </w:tcBorders>
            <w:vAlign w:val="center"/>
          </w:tcPr>
          <w:p w:rsidR="00F86D12" w:rsidRDefault="00F86D12" w:rsidP="00513943">
            <w:pPr>
              <w:ind w:right="-108"/>
              <w:jc w:val="right"/>
              <w:rPr>
                <w:b/>
                <w:color w:val="000000"/>
                <w:sz w:val="18"/>
                <w:lang w:val="en-GB"/>
              </w:rPr>
            </w:pPr>
            <w:r>
              <w:rPr>
                <w:b/>
                <w:color w:val="000000"/>
                <w:lang w:val="en-GB"/>
              </w:rPr>
              <w:t>(115,946)</w:t>
            </w:r>
          </w:p>
        </w:tc>
        <w:tc>
          <w:tcPr>
            <w:tcW w:w="1406" w:type="dxa"/>
            <w:tcBorders>
              <w:top w:val="single" w:sz="4" w:space="0" w:color="auto"/>
              <w:bottom w:val="single" w:sz="4" w:space="0" w:color="auto"/>
            </w:tcBorders>
            <w:vAlign w:val="center"/>
          </w:tcPr>
          <w:p w:rsidR="00F86D12" w:rsidRDefault="00F86D12" w:rsidP="00513943">
            <w:pPr>
              <w:ind w:right="-108"/>
              <w:jc w:val="right"/>
              <w:rPr>
                <w:b/>
                <w:color w:val="000000"/>
                <w:sz w:val="18"/>
                <w:lang w:val="en-GB"/>
              </w:rPr>
            </w:pPr>
            <w:r>
              <w:rPr>
                <w:b/>
                <w:color w:val="000000"/>
                <w:lang w:val="en-GB"/>
              </w:rPr>
              <w:t>(110,510)</w:t>
            </w:r>
          </w:p>
        </w:tc>
      </w:tr>
      <w:tr w:rsidR="00F86D12" w:rsidTr="00D74A18">
        <w:tblPrEx>
          <w:tblBorders>
            <w:bottom w:val="none" w:sz="0" w:space="0" w:color="auto"/>
          </w:tblBorders>
          <w:tblCellMar>
            <w:left w:w="108" w:type="dxa"/>
            <w:right w:w="108" w:type="dxa"/>
          </w:tblCellMar>
        </w:tblPrEx>
        <w:trPr>
          <w:gridAfter w:val="1"/>
          <w:wAfter w:w="77" w:type="dxa"/>
          <w:trHeight w:val="746"/>
        </w:trPr>
        <w:tc>
          <w:tcPr>
            <w:tcW w:w="4667" w:type="dxa"/>
            <w:tcBorders>
              <w:top w:val="single" w:sz="4" w:space="0" w:color="auto"/>
            </w:tcBorders>
          </w:tcPr>
          <w:p w:rsidR="00F86D12" w:rsidRDefault="00F86D12" w:rsidP="00513943">
            <w:pPr>
              <w:pStyle w:val="Heading9"/>
              <w:spacing w:before="0" w:after="0"/>
            </w:pPr>
          </w:p>
          <w:p w:rsidR="00F86D12" w:rsidRPr="00513943" w:rsidRDefault="00F86D12" w:rsidP="00513943">
            <w:pPr>
              <w:pStyle w:val="Heading9"/>
              <w:spacing w:before="0" w:after="0"/>
              <w:ind w:left="-78"/>
              <w:rPr>
                <w:b/>
              </w:rPr>
            </w:pPr>
            <w:r w:rsidRPr="00513943">
              <w:rPr>
                <w:b/>
              </w:rPr>
              <w:t>Net result before depreciation</w:t>
            </w:r>
          </w:p>
        </w:tc>
        <w:tc>
          <w:tcPr>
            <w:tcW w:w="844" w:type="dxa"/>
            <w:tcBorders>
              <w:top w:val="single" w:sz="4" w:space="0" w:color="auto"/>
            </w:tcBorders>
          </w:tcPr>
          <w:p w:rsidR="00F86D12" w:rsidRDefault="00F86D12" w:rsidP="00513943">
            <w:pPr>
              <w:jc w:val="center"/>
              <w:rPr>
                <w:i/>
                <w:color w:val="000000"/>
                <w:lang w:val="en-GB"/>
              </w:rPr>
            </w:pPr>
          </w:p>
          <w:p w:rsidR="00F86D12" w:rsidRDefault="00F86D12" w:rsidP="00513943">
            <w:pPr>
              <w:jc w:val="center"/>
              <w:rPr>
                <w:i/>
                <w:color w:val="000000"/>
                <w:lang w:val="en-GB"/>
              </w:rPr>
            </w:pPr>
          </w:p>
        </w:tc>
        <w:tc>
          <w:tcPr>
            <w:tcW w:w="2250" w:type="dxa"/>
            <w:tcBorders>
              <w:top w:val="single" w:sz="4" w:space="0" w:color="auto"/>
            </w:tcBorders>
          </w:tcPr>
          <w:p w:rsidR="00F86D12" w:rsidRDefault="00F86D12" w:rsidP="00513943">
            <w:pPr>
              <w:jc w:val="right"/>
              <w:rPr>
                <w:b/>
                <w:color w:val="000000"/>
                <w:lang w:val="en-GB"/>
              </w:rPr>
            </w:pPr>
          </w:p>
          <w:p w:rsidR="00F86D12" w:rsidRDefault="00F86D12" w:rsidP="00513943">
            <w:pPr>
              <w:ind w:right="-108"/>
              <w:jc w:val="right"/>
              <w:rPr>
                <w:b/>
                <w:color w:val="000000"/>
                <w:lang w:val="en-GB"/>
              </w:rPr>
            </w:pPr>
            <w:r>
              <w:rPr>
                <w:b/>
                <w:color w:val="000000"/>
                <w:lang w:val="en-GB"/>
              </w:rPr>
              <w:t>994</w:t>
            </w:r>
          </w:p>
          <w:p w:rsidR="00F86D12" w:rsidRPr="00EE478A" w:rsidRDefault="00F86D12" w:rsidP="00513943">
            <w:pPr>
              <w:jc w:val="right"/>
              <w:rPr>
                <w:b/>
                <w:color w:val="000000"/>
                <w:lang w:val="en-GB"/>
              </w:rPr>
            </w:pPr>
          </w:p>
        </w:tc>
        <w:tc>
          <w:tcPr>
            <w:tcW w:w="1406" w:type="dxa"/>
            <w:tcBorders>
              <w:top w:val="single" w:sz="4" w:space="0" w:color="auto"/>
            </w:tcBorders>
          </w:tcPr>
          <w:p w:rsidR="00F86D12" w:rsidRDefault="00F86D12" w:rsidP="00513943">
            <w:pPr>
              <w:jc w:val="right"/>
              <w:rPr>
                <w:b/>
                <w:color w:val="000000"/>
                <w:lang w:val="en-GB"/>
              </w:rPr>
            </w:pPr>
          </w:p>
          <w:p w:rsidR="00F86D12" w:rsidRDefault="00F86D12" w:rsidP="00513943">
            <w:pPr>
              <w:ind w:right="-108"/>
              <w:jc w:val="right"/>
              <w:rPr>
                <w:b/>
                <w:color w:val="000000"/>
                <w:lang w:val="en-GB"/>
              </w:rPr>
            </w:pPr>
            <w:r>
              <w:rPr>
                <w:b/>
                <w:color w:val="000000"/>
                <w:lang w:val="en-GB"/>
              </w:rPr>
              <w:t>8,341</w:t>
            </w:r>
          </w:p>
          <w:p w:rsidR="00F86D12" w:rsidRPr="00EE478A" w:rsidRDefault="00F86D12" w:rsidP="00513943">
            <w:pPr>
              <w:jc w:val="right"/>
              <w:rPr>
                <w:b/>
                <w:color w:val="000000"/>
                <w:lang w:val="en-GB"/>
              </w:rPr>
            </w:pPr>
          </w:p>
        </w:tc>
      </w:tr>
      <w:tr w:rsidR="00F86D12" w:rsidTr="00D74A18">
        <w:tblPrEx>
          <w:tblBorders>
            <w:bottom w:val="none" w:sz="0" w:space="0" w:color="auto"/>
          </w:tblBorders>
          <w:tblCellMar>
            <w:left w:w="108" w:type="dxa"/>
            <w:right w:w="108" w:type="dxa"/>
          </w:tblCellMar>
        </w:tblPrEx>
        <w:trPr>
          <w:gridAfter w:val="1"/>
          <w:wAfter w:w="77" w:type="dxa"/>
          <w:trHeight w:val="255"/>
        </w:trPr>
        <w:tc>
          <w:tcPr>
            <w:tcW w:w="4667" w:type="dxa"/>
          </w:tcPr>
          <w:p w:rsidR="00F86D12" w:rsidRDefault="00F86D12" w:rsidP="00513943">
            <w:pPr>
              <w:ind w:hanging="78"/>
            </w:pPr>
            <w:r>
              <w:t xml:space="preserve">Depreciation </w:t>
            </w:r>
          </w:p>
        </w:tc>
        <w:tc>
          <w:tcPr>
            <w:tcW w:w="844" w:type="dxa"/>
          </w:tcPr>
          <w:p w:rsidR="00F86D12" w:rsidRPr="00B33B81" w:rsidRDefault="00F86D12" w:rsidP="00513943">
            <w:pPr>
              <w:jc w:val="center"/>
              <w:rPr>
                <w:color w:val="000000"/>
                <w:highlight w:val="green"/>
                <w:lang w:val="en-GB"/>
              </w:rPr>
            </w:pPr>
            <w:r>
              <w:rPr>
                <w:color w:val="000000"/>
                <w:lang w:val="en-GB"/>
              </w:rPr>
              <w:t>9</w:t>
            </w:r>
            <w:r w:rsidRPr="00B33B81">
              <w:rPr>
                <w:color w:val="000000"/>
                <w:lang w:val="en-GB"/>
              </w:rPr>
              <w:t>(d)</w:t>
            </w:r>
          </w:p>
        </w:tc>
        <w:tc>
          <w:tcPr>
            <w:tcW w:w="2250" w:type="dxa"/>
          </w:tcPr>
          <w:p w:rsidR="00F86D12" w:rsidRDefault="00F86D12" w:rsidP="00513943">
            <w:pPr>
              <w:ind w:right="-108"/>
              <w:jc w:val="right"/>
              <w:rPr>
                <w:color w:val="000000"/>
                <w:lang w:val="en-GB"/>
              </w:rPr>
            </w:pPr>
            <w:r>
              <w:rPr>
                <w:color w:val="000000"/>
                <w:lang w:val="en-GB"/>
              </w:rPr>
              <w:t>(19,181)</w:t>
            </w:r>
          </w:p>
        </w:tc>
        <w:tc>
          <w:tcPr>
            <w:tcW w:w="1406" w:type="dxa"/>
          </w:tcPr>
          <w:p w:rsidR="00F86D12" w:rsidRDefault="00F86D12" w:rsidP="00513943">
            <w:pPr>
              <w:ind w:right="-108"/>
              <w:jc w:val="right"/>
              <w:rPr>
                <w:color w:val="000000"/>
                <w:lang w:val="en-GB"/>
              </w:rPr>
            </w:pPr>
            <w:r>
              <w:rPr>
                <w:color w:val="000000"/>
                <w:lang w:val="en-GB"/>
              </w:rPr>
              <w:t>(20,804)</w:t>
            </w:r>
          </w:p>
        </w:tc>
      </w:tr>
      <w:tr w:rsidR="00F86D12" w:rsidRPr="00EE478A" w:rsidTr="00D74A18">
        <w:tblPrEx>
          <w:tblBorders>
            <w:bottom w:val="none" w:sz="0" w:space="0" w:color="auto"/>
          </w:tblBorders>
          <w:tblCellMar>
            <w:left w:w="108" w:type="dxa"/>
            <w:right w:w="108" w:type="dxa"/>
          </w:tblCellMar>
        </w:tblPrEx>
        <w:trPr>
          <w:gridAfter w:val="1"/>
          <w:wAfter w:w="77" w:type="dxa"/>
          <w:trHeight w:val="314"/>
        </w:trPr>
        <w:tc>
          <w:tcPr>
            <w:tcW w:w="5511" w:type="dxa"/>
            <w:gridSpan w:val="2"/>
            <w:tcBorders>
              <w:top w:val="single" w:sz="4" w:space="0" w:color="auto"/>
            </w:tcBorders>
          </w:tcPr>
          <w:p w:rsidR="00F86D12" w:rsidRDefault="00F86D12" w:rsidP="00513943">
            <w:pPr>
              <w:pStyle w:val="Heading9"/>
              <w:spacing w:before="0" w:after="0"/>
            </w:pPr>
          </w:p>
          <w:p w:rsidR="00F86D12" w:rsidRPr="00513943" w:rsidRDefault="00F86D12" w:rsidP="00513943">
            <w:pPr>
              <w:pStyle w:val="Heading9"/>
              <w:spacing w:before="0" w:after="0"/>
              <w:ind w:left="-78"/>
              <w:rPr>
                <w:b/>
              </w:rPr>
            </w:pPr>
            <w:r w:rsidRPr="00513943">
              <w:rPr>
                <w:b/>
              </w:rPr>
              <w:t>Net result from transactions (net operating balance)</w:t>
            </w:r>
          </w:p>
        </w:tc>
        <w:tc>
          <w:tcPr>
            <w:tcW w:w="2250" w:type="dxa"/>
            <w:tcBorders>
              <w:top w:val="single" w:sz="4" w:space="0" w:color="auto"/>
            </w:tcBorders>
          </w:tcPr>
          <w:p w:rsidR="00F86D12" w:rsidRDefault="00F86D12" w:rsidP="00513943">
            <w:pPr>
              <w:jc w:val="right"/>
              <w:rPr>
                <w:b/>
                <w:color w:val="000000"/>
                <w:lang w:val="en-GB"/>
              </w:rPr>
            </w:pPr>
          </w:p>
          <w:p w:rsidR="00F86D12" w:rsidRDefault="00F86D12" w:rsidP="00513943">
            <w:pPr>
              <w:ind w:right="-108"/>
              <w:jc w:val="right"/>
              <w:rPr>
                <w:b/>
                <w:color w:val="000000"/>
                <w:lang w:val="en-GB"/>
              </w:rPr>
            </w:pPr>
            <w:r>
              <w:rPr>
                <w:b/>
                <w:color w:val="000000"/>
                <w:lang w:val="en-GB"/>
              </w:rPr>
              <w:t>(18,187)</w:t>
            </w:r>
          </w:p>
        </w:tc>
        <w:tc>
          <w:tcPr>
            <w:tcW w:w="1406" w:type="dxa"/>
            <w:tcBorders>
              <w:top w:val="single" w:sz="4" w:space="0" w:color="auto"/>
            </w:tcBorders>
          </w:tcPr>
          <w:p w:rsidR="00F86D12" w:rsidRDefault="00F86D12" w:rsidP="00513943">
            <w:pPr>
              <w:jc w:val="right"/>
              <w:rPr>
                <w:b/>
                <w:color w:val="000000"/>
                <w:lang w:val="en-GB"/>
              </w:rPr>
            </w:pPr>
          </w:p>
          <w:p w:rsidR="00F86D12" w:rsidRPr="00EE478A" w:rsidRDefault="00F86D12" w:rsidP="00513943">
            <w:pPr>
              <w:ind w:right="-108"/>
              <w:jc w:val="right"/>
              <w:rPr>
                <w:b/>
                <w:color w:val="000000"/>
                <w:lang w:val="en-GB"/>
              </w:rPr>
            </w:pPr>
            <w:r>
              <w:rPr>
                <w:b/>
                <w:color w:val="000000"/>
                <w:lang w:val="en-GB"/>
              </w:rPr>
              <w:t>(12,463)</w:t>
            </w:r>
          </w:p>
        </w:tc>
      </w:tr>
      <w:tr w:rsidR="00F86D12" w:rsidTr="00D74A18">
        <w:trPr>
          <w:trHeight w:val="389"/>
        </w:trPr>
        <w:tc>
          <w:tcPr>
            <w:tcW w:w="4667" w:type="dxa"/>
            <w:tcBorders>
              <w:top w:val="single" w:sz="4" w:space="0" w:color="auto"/>
              <w:bottom w:val="nil"/>
            </w:tcBorders>
            <w:vAlign w:val="center"/>
          </w:tcPr>
          <w:p w:rsidR="00F86D12" w:rsidRDefault="00F86D12" w:rsidP="00513943">
            <w:pPr>
              <w:pStyle w:val="Heading9"/>
              <w:spacing w:before="0" w:after="0"/>
            </w:pPr>
            <w:r>
              <w:t>Other economic flows included in net result</w:t>
            </w:r>
          </w:p>
        </w:tc>
        <w:tc>
          <w:tcPr>
            <w:tcW w:w="844" w:type="dxa"/>
            <w:tcBorders>
              <w:top w:val="single" w:sz="4" w:space="0" w:color="auto"/>
              <w:bottom w:val="nil"/>
            </w:tcBorders>
            <w:vAlign w:val="center"/>
          </w:tcPr>
          <w:p w:rsidR="00F86D12" w:rsidRPr="003F1D5C" w:rsidRDefault="00F86D12" w:rsidP="00513943">
            <w:pPr>
              <w:rPr>
                <w:i/>
                <w:color w:val="000000"/>
                <w:lang w:val="en-GB"/>
              </w:rPr>
            </w:pPr>
          </w:p>
        </w:tc>
        <w:tc>
          <w:tcPr>
            <w:tcW w:w="2250" w:type="dxa"/>
            <w:tcBorders>
              <w:top w:val="single" w:sz="4" w:space="0" w:color="auto"/>
              <w:bottom w:val="nil"/>
            </w:tcBorders>
            <w:vAlign w:val="center"/>
          </w:tcPr>
          <w:p w:rsidR="00F86D12" w:rsidRPr="003F1D5C" w:rsidRDefault="00F86D12" w:rsidP="00513943">
            <w:pPr>
              <w:rPr>
                <w:b/>
                <w:color w:val="000000"/>
                <w:lang w:val="en-GB"/>
              </w:rPr>
            </w:pPr>
          </w:p>
        </w:tc>
        <w:tc>
          <w:tcPr>
            <w:tcW w:w="1483" w:type="dxa"/>
            <w:gridSpan w:val="2"/>
            <w:tcBorders>
              <w:top w:val="single" w:sz="4" w:space="0" w:color="auto"/>
              <w:bottom w:val="nil"/>
            </w:tcBorders>
            <w:vAlign w:val="center"/>
          </w:tcPr>
          <w:p w:rsidR="00F86D12" w:rsidRPr="003F1D5C" w:rsidRDefault="00F86D12" w:rsidP="00513943">
            <w:pPr>
              <w:rPr>
                <w:b/>
                <w:color w:val="000000"/>
                <w:lang w:val="en-GB"/>
              </w:rPr>
            </w:pPr>
          </w:p>
        </w:tc>
      </w:tr>
      <w:tr w:rsidR="00F86D12" w:rsidTr="00D74A18">
        <w:tblPrEx>
          <w:tblBorders>
            <w:bottom w:val="none" w:sz="0" w:space="0" w:color="auto"/>
          </w:tblBorders>
          <w:tblCellMar>
            <w:left w:w="108" w:type="dxa"/>
            <w:right w:w="108" w:type="dxa"/>
          </w:tblCellMar>
        </w:tblPrEx>
        <w:trPr>
          <w:gridAfter w:val="1"/>
          <w:wAfter w:w="77" w:type="dxa"/>
          <w:trHeight w:val="389"/>
        </w:trPr>
        <w:tc>
          <w:tcPr>
            <w:tcW w:w="4667" w:type="dxa"/>
          </w:tcPr>
          <w:p w:rsidR="00F86D12" w:rsidRPr="00625A7F" w:rsidRDefault="00F86D12" w:rsidP="00513943">
            <w:pPr>
              <w:pStyle w:val="Heading9"/>
              <w:spacing w:before="0" w:after="0"/>
              <w:ind w:hanging="78"/>
              <w:rPr>
                <w:b/>
              </w:rPr>
            </w:pPr>
            <w:r w:rsidRPr="00625A7F">
              <w:t xml:space="preserve">Net </w:t>
            </w:r>
            <w:r>
              <w:t>Gain/(L</w:t>
            </w:r>
            <w:r w:rsidRPr="00625A7F">
              <w:t>oss</w:t>
            </w:r>
            <w:r>
              <w:t>)</w:t>
            </w:r>
            <w:r w:rsidRPr="00625A7F">
              <w:t xml:space="preserve"> on </w:t>
            </w:r>
            <w:r>
              <w:t>N</w:t>
            </w:r>
            <w:r w:rsidRPr="00625A7F">
              <w:t>on</w:t>
            </w:r>
            <w:r>
              <w:t>-F</w:t>
            </w:r>
            <w:r w:rsidRPr="00625A7F">
              <w:t xml:space="preserve">inancial </w:t>
            </w:r>
            <w:r>
              <w:t>A</w:t>
            </w:r>
            <w:r w:rsidRPr="00625A7F">
              <w:t>ssets</w:t>
            </w:r>
          </w:p>
        </w:tc>
        <w:tc>
          <w:tcPr>
            <w:tcW w:w="844" w:type="dxa"/>
          </w:tcPr>
          <w:p w:rsidR="00F86D12" w:rsidRPr="003F1D5C" w:rsidRDefault="00F86D12" w:rsidP="00513943">
            <w:pPr>
              <w:rPr>
                <w:i/>
                <w:color w:val="000000"/>
                <w:lang w:val="en-GB"/>
              </w:rPr>
            </w:pPr>
          </w:p>
        </w:tc>
        <w:tc>
          <w:tcPr>
            <w:tcW w:w="2250" w:type="dxa"/>
          </w:tcPr>
          <w:p w:rsidR="00F86D12" w:rsidRDefault="00F86D12" w:rsidP="00513943">
            <w:pPr>
              <w:ind w:right="-108"/>
              <w:jc w:val="right"/>
              <w:rPr>
                <w:color w:val="000000"/>
                <w:lang w:val="en-GB"/>
              </w:rPr>
            </w:pPr>
            <w:r>
              <w:rPr>
                <w:color w:val="000000"/>
                <w:lang w:val="en-GB"/>
              </w:rPr>
              <w:t>(130)</w:t>
            </w:r>
          </w:p>
        </w:tc>
        <w:tc>
          <w:tcPr>
            <w:tcW w:w="1406" w:type="dxa"/>
          </w:tcPr>
          <w:p w:rsidR="00F86D12" w:rsidRDefault="00F86D12" w:rsidP="00513943">
            <w:pPr>
              <w:ind w:right="-108"/>
              <w:jc w:val="right"/>
              <w:rPr>
                <w:color w:val="000000"/>
                <w:lang w:val="en-GB"/>
              </w:rPr>
            </w:pPr>
            <w:r>
              <w:rPr>
                <w:color w:val="000000"/>
                <w:lang w:val="en-GB"/>
              </w:rPr>
              <w:t>46</w:t>
            </w:r>
          </w:p>
        </w:tc>
      </w:tr>
      <w:tr w:rsidR="00F86D12" w:rsidTr="00D74A18">
        <w:tblPrEx>
          <w:tblBorders>
            <w:bottom w:val="none" w:sz="0" w:space="0" w:color="auto"/>
          </w:tblBorders>
          <w:tblCellMar>
            <w:left w:w="108" w:type="dxa"/>
            <w:right w:w="108" w:type="dxa"/>
          </w:tblCellMar>
        </w:tblPrEx>
        <w:trPr>
          <w:gridAfter w:val="1"/>
          <w:wAfter w:w="77" w:type="dxa"/>
          <w:trHeight w:val="389"/>
        </w:trPr>
        <w:tc>
          <w:tcPr>
            <w:tcW w:w="4667" w:type="dxa"/>
            <w:tcBorders>
              <w:bottom w:val="single" w:sz="4" w:space="0" w:color="auto"/>
            </w:tcBorders>
          </w:tcPr>
          <w:p w:rsidR="00F86D12" w:rsidRPr="00625A7F" w:rsidRDefault="00F86D12" w:rsidP="00513943">
            <w:pPr>
              <w:pStyle w:val="Heading9"/>
              <w:spacing w:before="0" w:after="0"/>
              <w:ind w:left="-78"/>
              <w:rPr>
                <w:b/>
              </w:rPr>
            </w:pPr>
            <w:r>
              <w:t xml:space="preserve">Net Gain/(Loss) Arising from movement of discount rates for Long Service Leave Liability </w:t>
            </w:r>
          </w:p>
        </w:tc>
        <w:tc>
          <w:tcPr>
            <w:tcW w:w="844" w:type="dxa"/>
            <w:tcBorders>
              <w:bottom w:val="single" w:sz="4" w:space="0" w:color="auto"/>
            </w:tcBorders>
          </w:tcPr>
          <w:p w:rsidR="00F86D12" w:rsidRPr="003F1D5C" w:rsidRDefault="00F86D12" w:rsidP="00513943">
            <w:pPr>
              <w:rPr>
                <w:i/>
                <w:color w:val="000000"/>
                <w:lang w:val="en-GB"/>
              </w:rPr>
            </w:pPr>
          </w:p>
        </w:tc>
        <w:tc>
          <w:tcPr>
            <w:tcW w:w="2250" w:type="dxa"/>
            <w:tcBorders>
              <w:bottom w:val="single" w:sz="4" w:space="0" w:color="auto"/>
            </w:tcBorders>
          </w:tcPr>
          <w:p w:rsidR="00F86D12" w:rsidRPr="00747593" w:rsidRDefault="00F86D12" w:rsidP="00513943">
            <w:pPr>
              <w:ind w:right="-108"/>
              <w:jc w:val="right"/>
              <w:rPr>
                <w:color w:val="000000"/>
                <w:lang w:val="en-GB"/>
              </w:rPr>
            </w:pPr>
            <w:r>
              <w:rPr>
                <w:color w:val="000000"/>
                <w:lang w:val="en-GB"/>
              </w:rPr>
              <w:t>46</w:t>
            </w:r>
          </w:p>
        </w:tc>
        <w:tc>
          <w:tcPr>
            <w:tcW w:w="1406" w:type="dxa"/>
            <w:tcBorders>
              <w:bottom w:val="single" w:sz="4" w:space="0" w:color="auto"/>
            </w:tcBorders>
          </w:tcPr>
          <w:p w:rsidR="00F86D12" w:rsidRPr="00747593" w:rsidRDefault="00F86D12" w:rsidP="00513943">
            <w:pPr>
              <w:ind w:right="-108"/>
              <w:jc w:val="right"/>
              <w:rPr>
                <w:color w:val="000000"/>
                <w:lang w:val="en-GB"/>
              </w:rPr>
            </w:pPr>
            <w:r>
              <w:rPr>
                <w:color w:val="000000"/>
                <w:lang w:val="en-GB"/>
              </w:rPr>
              <w:t>(186)</w:t>
            </w:r>
          </w:p>
        </w:tc>
      </w:tr>
      <w:tr w:rsidR="00F86D12" w:rsidTr="00D74A18">
        <w:tblPrEx>
          <w:tblBorders>
            <w:bottom w:val="none" w:sz="0" w:space="0" w:color="auto"/>
          </w:tblBorders>
          <w:tblCellMar>
            <w:left w:w="108" w:type="dxa"/>
            <w:right w:w="108" w:type="dxa"/>
          </w:tblCellMar>
        </w:tblPrEx>
        <w:trPr>
          <w:gridAfter w:val="1"/>
          <w:wAfter w:w="77" w:type="dxa"/>
          <w:trHeight w:val="389"/>
        </w:trPr>
        <w:tc>
          <w:tcPr>
            <w:tcW w:w="4667" w:type="dxa"/>
            <w:tcBorders>
              <w:top w:val="single" w:sz="4" w:space="0" w:color="auto"/>
              <w:bottom w:val="single" w:sz="4" w:space="0" w:color="auto"/>
            </w:tcBorders>
            <w:vAlign w:val="center"/>
          </w:tcPr>
          <w:p w:rsidR="00F86D12" w:rsidRDefault="00F86D12" w:rsidP="00513943">
            <w:pPr>
              <w:pStyle w:val="Heading9"/>
              <w:spacing w:before="0" w:after="0"/>
            </w:pPr>
          </w:p>
        </w:tc>
        <w:tc>
          <w:tcPr>
            <w:tcW w:w="844" w:type="dxa"/>
            <w:tcBorders>
              <w:top w:val="single" w:sz="4" w:space="0" w:color="auto"/>
              <w:bottom w:val="single" w:sz="4" w:space="0" w:color="auto"/>
            </w:tcBorders>
            <w:vAlign w:val="center"/>
          </w:tcPr>
          <w:p w:rsidR="00F86D12" w:rsidRPr="003F1D5C" w:rsidRDefault="00F86D12" w:rsidP="00513943">
            <w:pPr>
              <w:rPr>
                <w:i/>
                <w:color w:val="000000"/>
                <w:lang w:val="en-GB"/>
              </w:rPr>
            </w:pPr>
          </w:p>
        </w:tc>
        <w:tc>
          <w:tcPr>
            <w:tcW w:w="2250" w:type="dxa"/>
            <w:tcBorders>
              <w:top w:val="single" w:sz="4" w:space="0" w:color="auto"/>
              <w:bottom w:val="single" w:sz="4" w:space="0" w:color="auto"/>
            </w:tcBorders>
            <w:vAlign w:val="center"/>
          </w:tcPr>
          <w:p w:rsidR="00F86D12" w:rsidRDefault="00F86D12" w:rsidP="00513943">
            <w:pPr>
              <w:ind w:right="-108"/>
              <w:jc w:val="right"/>
              <w:rPr>
                <w:b/>
                <w:color w:val="000000"/>
                <w:lang w:val="en-GB"/>
              </w:rPr>
            </w:pPr>
            <w:r>
              <w:rPr>
                <w:b/>
                <w:color w:val="000000"/>
                <w:lang w:val="en-GB"/>
              </w:rPr>
              <w:t>(84)</w:t>
            </w:r>
          </w:p>
        </w:tc>
        <w:tc>
          <w:tcPr>
            <w:tcW w:w="1406" w:type="dxa"/>
            <w:tcBorders>
              <w:top w:val="single" w:sz="4" w:space="0" w:color="auto"/>
              <w:bottom w:val="single" w:sz="4" w:space="0" w:color="auto"/>
            </w:tcBorders>
            <w:vAlign w:val="center"/>
          </w:tcPr>
          <w:p w:rsidR="00F86D12" w:rsidRDefault="00F86D12" w:rsidP="00513943">
            <w:pPr>
              <w:ind w:right="-108"/>
              <w:jc w:val="right"/>
              <w:rPr>
                <w:b/>
                <w:color w:val="000000"/>
                <w:lang w:val="en-GB"/>
              </w:rPr>
            </w:pPr>
            <w:r>
              <w:rPr>
                <w:b/>
                <w:color w:val="000000"/>
                <w:lang w:val="en-GB"/>
              </w:rPr>
              <w:t>(140)</w:t>
            </w:r>
          </w:p>
        </w:tc>
      </w:tr>
      <w:tr w:rsidR="00F86D12" w:rsidTr="00D74A18">
        <w:tblPrEx>
          <w:tblBorders>
            <w:bottom w:val="none" w:sz="0" w:space="0" w:color="auto"/>
          </w:tblBorders>
          <w:tblCellMar>
            <w:left w:w="108" w:type="dxa"/>
            <w:right w:w="108" w:type="dxa"/>
          </w:tblCellMar>
        </w:tblPrEx>
        <w:trPr>
          <w:gridAfter w:val="1"/>
          <w:wAfter w:w="77" w:type="dxa"/>
          <w:trHeight w:val="389"/>
        </w:trPr>
        <w:tc>
          <w:tcPr>
            <w:tcW w:w="4667" w:type="dxa"/>
            <w:tcBorders>
              <w:top w:val="single" w:sz="4" w:space="0" w:color="auto"/>
              <w:bottom w:val="single" w:sz="12" w:space="0" w:color="auto"/>
            </w:tcBorders>
            <w:vAlign w:val="center"/>
          </w:tcPr>
          <w:p w:rsidR="00F86D12" w:rsidRPr="00513943" w:rsidRDefault="00F86D12" w:rsidP="00513943">
            <w:pPr>
              <w:pStyle w:val="Heading9"/>
              <w:spacing w:before="0" w:after="0"/>
              <w:ind w:hanging="78"/>
              <w:rPr>
                <w:b/>
              </w:rPr>
            </w:pPr>
            <w:r w:rsidRPr="00513943">
              <w:rPr>
                <w:b/>
              </w:rPr>
              <w:t>Net result</w:t>
            </w:r>
          </w:p>
        </w:tc>
        <w:tc>
          <w:tcPr>
            <w:tcW w:w="844" w:type="dxa"/>
            <w:tcBorders>
              <w:top w:val="single" w:sz="4" w:space="0" w:color="auto"/>
              <w:bottom w:val="single" w:sz="12" w:space="0" w:color="auto"/>
            </w:tcBorders>
            <w:vAlign w:val="center"/>
          </w:tcPr>
          <w:p w:rsidR="00F86D12" w:rsidRPr="003F1D5C" w:rsidRDefault="00F86D12" w:rsidP="00513943">
            <w:pPr>
              <w:rPr>
                <w:i/>
                <w:color w:val="000000"/>
                <w:lang w:val="en-GB"/>
              </w:rPr>
            </w:pPr>
          </w:p>
        </w:tc>
        <w:tc>
          <w:tcPr>
            <w:tcW w:w="2250" w:type="dxa"/>
            <w:tcBorders>
              <w:top w:val="single" w:sz="4" w:space="0" w:color="auto"/>
              <w:bottom w:val="single" w:sz="12" w:space="0" w:color="auto"/>
            </w:tcBorders>
            <w:vAlign w:val="center"/>
          </w:tcPr>
          <w:p w:rsidR="00F86D12" w:rsidRDefault="00F86D12" w:rsidP="00513943">
            <w:pPr>
              <w:ind w:right="-108"/>
              <w:jc w:val="right"/>
              <w:rPr>
                <w:b/>
                <w:color w:val="000000"/>
                <w:lang w:val="en-GB"/>
              </w:rPr>
            </w:pPr>
            <w:r>
              <w:rPr>
                <w:b/>
                <w:color w:val="000000"/>
                <w:lang w:val="en-GB"/>
              </w:rPr>
              <w:t>(18,271)</w:t>
            </w:r>
          </w:p>
        </w:tc>
        <w:tc>
          <w:tcPr>
            <w:tcW w:w="1406" w:type="dxa"/>
            <w:tcBorders>
              <w:top w:val="single" w:sz="4" w:space="0" w:color="auto"/>
              <w:bottom w:val="single" w:sz="12" w:space="0" w:color="auto"/>
            </w:tcBorders>
            <w:vAlign w:val="center"/>
          </w:tcPr>
          <w:p w:rsidR="00F86D12" w:rsidRDefault="00F86D12" w:rsidP="00513943">
            <w:pPr>
              <w:ind w:right="-108"/>
              <w:jc w:val="right"/>
              <w:rPr>
                <w:b/>
                <w:color w:val="000000"/>
                <w:lang w:val="en-GB"/>
              </w:rPr>
            </w:pPr>
            <w:r>
              <w:rPr>
                <w:b/>
                <w:color w:val="000000"/>
                <w:lang w:val="en-GB"/>
              </w:rPr>
              <w:t>(12,603)</w:t>
            </w:r>
          </w:p>
        </w:tc>
      </w:tr>
      <w:tr w:rsidR="00F86D12" w:rsidTr="00D74A18">
        <w:tblPrEx>
          <w:tblBorders>
            <w:bottom w:val="none" w:sz="0" w:space="0" w:color="auto"/>
          </w:tblBorders>
          <w:tblCellMar>
            <w:left w:w="108" w:type="dxa"/>
            <w:right w:w="108" w:type="dxa"/>
          </w:tblCellMar>
        </w:tblPrEx>
        <w:trPr>
          <w:gridAfter w:val="1"/>
          <w:wAfter w:w="77" w:type="dxa"/>
          <w:trHeight w:val="314"/>
        </w:trPr>
        <w:tc>
          <w:tcPr>
            <w:tcW w:w="4667" w:type="dxa"/>
          </w:tcPr>
          <w:p w:rsidR="00F86D12" w:rsidRPr="003F1D5C" w:rsidRDefault="00F86D12" w:rsidP="00513943">
            <w:pPr>
              <w:pStyle w:val="Heading9"/>
              <w:spacing w:before="0" w:after="0"/>
            </w:pPr>
          </w:p>
        </w:tc>
        <w:tc>
          <w:tcPr>
            <w:tcW w:w="844" w:type="dxa"/>
          </w:tcPr>
          <w:p w:rsidR="00F86D12" w:rsidRPr="003F1D5C" w:rsidRDefault="00F86D12" w:rsidP="00513943">
            <w:pPr>
              <w:jc w:val="center"/>
              <w:rPr>
                <w:i/>
                <w:color w:val="000000"/>
                <w:lang w:val="en-GB"/>
              </w:rPr>
            </w:pPr>
          </w:p>
        </w:tc>
        <w:tc>
          <w:tcPr>
            <w:tcW w:w="2250" w:type="dxa"/>
          </w:tcPr>
          <w:p w:rsidR="00F86D12" w:rsidRPr="003F1D5C" w:rsidRDefault="00F86D12" w:rsidP="00513943">
            <w:pPr>
              <w:jc w:val="right"/>
              <w:rPr>
                <w:b/>
                <w:color w:val="000000"/>
                <w:lang w:val="en-GB"/>
              </w:rPr>
            </w:pPr>
          </w:p>
        </w:tc>
        <w:tc>
          <w:tcPr>
            <w:tcW w:w="1406" w:type="dxa"/>
          </w:tcPr>
          <w:p w:rsidR="00F86D12" w:rsidRPr="003F1D5C" w:rsidRDefault="00F86D12" w:rsidP="00513943">
            <w:pPr>
              <w:jc w:val="right"/>
              <w:rPr>
                <w:b/>
                <w:color w:val="000000"/>
                <w:lang w:val="en-GB"/>
              </w:rPr>
            </w:pPr>
          </w:p>
        </w:tc>
      </w:tr>
      <w:tr w:rsidR="00F86D12" w:rsidTr="00D74A18">
        <w:tblPrEx>
          <w:tblBorders>
            <w:bottom w:val="none" w:sz="0" w:space="0" w:color="auto"/>
          </w:tblBorders>
          <w:tblCellMar>
            <w:left w:w="108" w:type="dxa"/>
            <w:right w:w="108" w:type="dxa"/>
          </w:tblCellMar>
        </w:tblPrEx>
        <w:trPr>
          <w:gridAfter w:val="1"/>
          <w:wAfter w:w="77" w:type="dxa"/>
          <w:trHeight w:val="314"/>
        </w:trPr>
        <w:tc>
          <w:tcPr>
            <w:tcW w:w="9167" w:type="dxa"/>
            <w:gridSpan w:val="4"/>
          </w:tcPr>
          <w:p w:rsidR="00F86D12" w:rsidRPr="00E1645B" w:rsidRDefault="00F86D12" w:rsidP="00513943">
            <w:pPr>
              <w:ind w:hanging="78"/>
              <w:rPr>
                <w:b/>
                <w:color w:val="000000"/>
                <w:lang w:val="en-GB"/>
              </w:rPr>
            </w:pPr>
            <w:r w:rsidRPr="00E1645B">
              <w:rPr>
                <w:b/>
              </w:rPr>
              <w:t xml:space="preserve">Other economic flows </w:t>
            </w:r>
            <w:r>
              <w:rPr>
                <w:b/>
              </w:rPr>
              <w:t>–</w:t>
            </w:r>
            <w:r w:rsidRPr="00E1645B">
              <w:rPr>
                <w:b/>
              </w:rPr>
              <w:t xml:space="preserve"> other </w:t>
            </w:r>
            <w:r>
              <w:rPr>
                <w:b/>
              </w:rPr>
              <w:t>comprehensive income</w:t>
            </w:r>
          </w:p>
        </w:tc>
      </w:tr>
      <w:tr w:rsidR="00F86D12" w:rsidTr="00D74A18">
        <w:tblPrEx>
          <w:tblBorders>
            <w:bottom w:val="none" w:sz="0" w:space="0" w:color="auto"/>
          </w:tblBorders>
          <w:tblCellMar>
            <w:left w:w="108" w:type="dxa"/>
            <w:right w:w="108" w:type="dxa"/>
          </w:tblCellMar>
        </w:tblPrEx>
        <w:trPr>
          <w:gridAfter w:val="1"/>
          <w:wAfter w:w="77" w:type="dxa"/>
          <w:trHeight w:val="314"/>
        </w:trPr>
        <w:tc>
          <w:tcPr>
            <w:tcW w:w="4667" w:type="dxa"/>
            <w:tcBorders>
              <w:bottom w:val="single" w:sz="4" w:space="0" w:color="auto"/>
            </w:tcBorders>
          </w:tcPr>
          <w:p w:rsidR="00F86D12" w:rsidRPr="00E1645B" w:rsidRDefault="00F86D12" w:rsidP="00513943">
            <w:pPr>
              <w:pStyle w:val="Heading9"/>
              <w:spacing w:before="0" w:after="0"/>
              <w:ind w:hanging="78"/>
              <w:rPr>
                <w:b/>
              </w:rPr>
            </w:pPr>
            <w:r w:rsidRPr="00E1645B">
              <w:t xml:space="preserve">Changes in </w:t>
            </w:r>
            <w:r>
              <w:t>P</w:t>
            </w:r>
            <w:r w:rsidRPr="00E1645B">
              <w:t xml:space="preserve">hysical </w:t>
            </w:r>
            <w:r>
              <w:t>A</w:t>
            </w:r>
            <w:r w:rsidRPr="00E1645B">
              <w:t xml:space="preserve">sset </w:t>
            </w:r>
            <w:r>
              <w:t>R</w:t>
            </w:r>
            <w:r w:rsidR="00513943">
              <w:t xml:space="preserve">evaluation </w:t>
            </w:r>
            <w:r>
              <w:t>Surplus</w:t>
            </w:r>
          </w:p>
        </w:tc>
        <w:tc>
          <w:tcPr>
            <w:tcW w:w="844" w:type="dxa"/>
            <w:tcBorders>
              <w:bottom w:val="single" w:sz="4" w:space="0" w:color="auto"/>
            </w:tcBorders>
          </w:tcPr>
          <w:p w:rsidR="00F86D12" w:rsidRPr="00E1645B" w:rsidRDefault="00F86D12" w:rsidP="00513943">
            <w:pPr>
              <w:jc w:val="center"/>
              <w:rPr>
                <w:i/>
                <w:color w:val="000000"/>
                <w:lang w:val="en-GB"/>
              </w:rPr>
            </w:pPr>
          </w:p>
        </w:tc>
        <w:tc>
          <w:tcPr>
            <w:tcW w:w="2250" w:type="dxa"/>
            <w:tcBorders>
              <w:bottom w:val="single" w:sz="4" w:space="0" w:color="auto"/>
            </w:tcBorders>
          </w:tcPr>
          <w:p w:rsidR="00F86D12" w:rsidRPr="00E1645B" w:rsidRDefault="00F86D12" w:rsidP="00513943">
            <w:pPr>
              <w:ind w:right="-108"/>
              <w:jc w:val="right"/>
              <w:rPr>
                <w:color w:val="000000"/>
                <w:lang w:val="en-GB"/>
              </w:rPr>
            </w:pPr>
            <w:r>
              <w:rPr>
                <w:color w:val="000000"/>
                <w:lang w:val="en-GB"/>
              </w:rPr>
              <w:t>0</w:t>
            </w:r>
          </w:p>
        </w:tc>
        <w:tc>
          <w:tcPr>
            <w:tcW w:w="1406" w:type="dxa"/>
            <w:tcBorders>
              <w:bottom w:val="single" w:sz="4" w:space="0" w:color="auto"/>
            </w:tcBorders>
          </w:tcPr>
          <w:p w:rsidR="00F86D12" w:rsidRPr="00E1645B" w:rsidRDefault="00F86D12" w:rsidP="00513943">
            <w:pPr>
              <w:jc w:val="right"/>
              <w:rPr>
                <w:color w:val="000000"/>
                <w:lang w:val="en-GB"/>
              </w:rPr>
            </w:pPr>
            <w:r>
              <w:rPr>
                <w:color w:val="000000"/>
                <w:lang w:val="en-GB"/>
              </w:rPr>
              <w:t>0</w:t>
            </w:r>
          </w:p>
        </w:tc>
      </w:tr>
      <w:tr w:rsidR="00F86D12" w:rsidTr="00D74A18">
        <w:tblPrEx>
          <w:tblBorders>
            <w:bottom w:val="none" w:sz="0" w:space="0" w:color="auto"/>
          </w:tblBorders>
          <w:tblCellMar>
            <w:left w:w="108" w:type="dxa"/>
            <w:right w:w="108" w:type="dxa"/>
          </w:tblCellMar>
        </w:tblPrEx>
        <w:trPr>
          <w:gridAfter w:val="1"/>
          <w:wAfter w:w="77" w:type="dxa"/>
          <w:trHeight w:val="314"/>
        </w:trPr>
        <w:tc>
          <w:tcPr>
            <w:tcW w:w="4667" w:type="dxa"/>
            <w:tcBorders>
              <w:bottom w:val="single" w:sz="4" w:space="0" w:color="auto"/>
            </w:tcBorders>
          </w:tcPr>
          <w:p w:rsidR="00F86D12" w:rsidRPr="003F1D5C" w:rsidRDefault="00F86D12" w:rsidP="00513943">
            <w:pPr>
              <w:pStyle w:val="Heading9"/>
              <w:spacing w:before="0" w:after="0"/>
            </w:pPr>
          </w:p>
        </w:tc>
        <w:tc>
          <w:tcPr>
            <w:tcW w:w="844" w:type="dxa"/>
            <w:tcBorders>
              <w:bottom w:val="single" w:sz="4" w:space="0" w:color="auto"/>
            </w:tcBorders>
          </w:tcPr>
          <w:p w:rsidR="00F86D12" w:rsidRPr="003F1D5C" w:rsidRDefault="00F86D12" w:rsidP="00513943">
            <w:pPr>
              <w:jc w:val="center"/>
              <w:rPr>
                <w:i/>
                <w:color w:val="000000"/>
                <w:lang w:val="en-GB"/>
              </w:rPr>
            </w:pPr>
          </w:p>
        </w:tc>
        <w:tc>
          <w:tcPr>
            <w:tcW w:w="2250" w:type="dxa"/>
            <w:tcBorders>
              <w:bottom w:val="single" w:sz="4" w:space="0" w:color="auto"/>
            </w:tcBorders>
          </w:tcPr>
          <w:p w:rsidR="00F86D12" w:rsidRPr="003F1D5C" w:rsidRDefault="00F86D12" w:rsidP="00513943">
            <w:pPr>
              <w:jc w:val="right"/>
              <w:rPr>
                <w:b/>
                <w:color w:val="000000"/>
                <w:lang w:val="en-GB"/>
              </w:rPr>
            </w:pPr>
          </w:p>
        </w:tc>
        <w:tc>
          <w:tcPr>
            <w:tcW w:w="1406" w:type="dxa"/>
            <w:tcBorders>
              <w:bottom w:val="single" w:sz="4" w:space="0" w:color="auto"/>
            </w:tcBorders>
          </w:tcPr>
          <w:p w:rsidR="00F86D12" w:rsidRPr="003F1D5C" w:rsidRDefault="00F86D12" w:rsidP="00513943">
            <w:pPr>
              <w:jc w:val="right"/>
              <w:rPr>
                <w:b/>
                <w:color w:val="000000"/>
                <w:lang w:val="en-GB"/>
              </w:rPr>
            </w:pPr>
          </w:p>
        </w:tc>
      </w:tr>
      <w:tr w:rsidR="00F86D12" w:rsidRPr="00EE478A" w:rsidTr="00D74A18">
        <w:trPr>
          <w:trHeight w:val="477"/>
        </w:trPr>
        <w:tc>
          <w:tcPr>
            <w:tcW w:w="4667" w:type="dxa"/>
            <w:tcBorders>
              <w:top w:val="single" w:sz="12" w:space="0" w:color="auto"/>
              <w:bottom w:val="single" w:sz="12" w:space="0" w:color="auto"/>
            </w:tcBorders>
            <w:vAlign w:val="center"/>
          </w:tcPr>
          <w:p w:rsidR="00F86D12" w:rsidRPr="00513943" w:rsidRDefault="00F86D12" w:rsidP="00513943">
            <w:pPr>
              <w:pStyle w:val="Heading9"/>
              <w:spacing w:before="0" w:after="0"/>
              <w:rPr>
                <w:b/>
              </w:rPr>
            </w:pPr>
            <w:r w:rsidRPr="00513943">
              <w:rPr>
                <w:b/>
                <w:bCs/>
              </w:rPr>
              <w:t>Comprehensive result</w:t>
            </w:r>
          </w:p>
        </w:tc>
        <w:tc>
          <w:tcPr>
            <w:tcW w:w="844" w:type="dxa"/>
            <w:tcBorders>
              <w:top w:val="single" w:sz="12" w:space="0" w:color="auto"/>
              <w:bottom w:val="single" w:sz="12" w:space="0" w:color="auto"/>
            </w:tcBorders>
            <w:vAlign w:val="center"/>
          </w:tcPr>
          <w:p w:rsidR="00F86D12" w:rsidRPr="003F1D5C" w:rsidRDefault="00F86D12" w:rsidP="00513943">
            <w:pPr>
              <w:rPr>
                <w:i/>
                <w:color w:val="000000"/>
                <w:lang w:val="en-GB"/>
              </w:rPr>
            </w:pPr>
          </w:p>
        </w:tc>
        <w:tc>
          <w:tcPr>
            <w:tcW w:w="2250" w:type="dxa"/>
            <w:tcBorders>
              <w:top w:val="single" w:sz="12" w:space="0" w:color="auto"/>
              <w:bottom w:val="single" w:sz="12" w:space="0" w:color="auto"/>
            </w:tcBorders>
            <w:vAlign w:val="center"/>
          </w:tcPr>
          <w:p w:rsidR="00F86D12" w:rsidRDefault="00F86D12" w:rsidP="00513943">
            <w:pPr>
              <w:jc w:val="right"/>
              <w:rPr>
                <w:b/>
                <w:color w:val="000000"/>
                <w:lang w:val="en-GB"/>
              </w:rPr>
            </w:pPr>
            <w:r>
              <w:rPr>
                <w:b/>
                <w:color w:val="000000"/>
                <w:lang w:val="en-GB"/>
              </w:rPr>
              <w:t xml:space="preserve"> (18,271)</w:t>
            </w:r>
          </w:p>
        </w:tc>
        <w:tc>
          <w:tcPr>
            <w:tcW w:w="1483" w:type="dxa"/>
            <w:gridSpan w:val="2"/>
            <w:tcBorders>
              <w:top w:val="single" w:sz="12" w:space="0" w:color="auto"/>
              <w:bottom w:val="single" w:sz="12" w:space="0" w:color="auto"/>
            </w:tcBorders>
            <w:vAlign w:val="center"/>
          </w:tcPr>
          <w:p w:rsidR="00F86D12" w:rsidRPr="00EE478A" w:rsidRDefault="00F86D12" w:rsidP="00513943">
            <w:pPr>
              <w:jc w:val="right"/>
              <w:rPr>
                <w:b/>
                <w:color w:val="000000"/>
                <w:lang w:val="en-GB"/>
              </w:rPr>
            </w:pPr>
            <w:r>
              <w:rPr>
                <w:b/>
                <w:color w:val="000000"/>
                <w:lang w:val="en-GB"/>
              </w:rPr>
              <w:t>(12,603)</w:t>
            </w:r>
          </w:p>
        </w:tc>
      </w:tr>
    </w:tbl>
    <w:p w:rsidR="00F86D12" w:rsidRDefault="00F86D12" w:rsidP="00F86D12">
      <w:pPr>
        <w:spacing w:before="40"/>
        <w:rPr>
          <w:b/>
          <w:lang w:val="en-GB"/>
        </w:rPr>
      </w:pPr>
    </w:p>
    <w:p w:rsidR="00F86D12" w:rsidRDefault="00F86D12" w:rsidP="00F86D12">
      <w:pPr>
        <w:spacing w:before="40"/>
      </w:pPr>
      <w:r>
        <w:rPr>
          <w:b/>
          <w:lang w:val="en-GB"/>
        </w:rPr>
        <w:t xml:space="preserve">The </w:t>
      </w:r>
      <w:r w:rsidRPr="00341D75">
        <w:rPr>
          <w:b/>
          <w:lang w:val="en-GB"/>
        </w:rPr>
        <w:t xml:space="preserve">above </w:t>
      </w:r>
      <w:r>
        <w:rPr>
          <w:b/>
          <w:lang w:val="en-GB"/>
        </w:rPr>
        <w:t xml:space="preserve">Comprehensive </w:t>
      </w:r>
      <w:r w:rsidRPr="00341D75">
        <w:rPr>
          <w:b/>
          <w:lang w:val="en-GB"/>
        </w:rPr>
        <w:t>Operating Statement</w:t>
      </w:r>
      <w:r>
        <w:rPr>
          <w:b/>
          <w:lang w:val="en-GB"/>
        </w:rPr>
        <w:t xml:space="preserve"> should be read in conjunction with the accompanying notes.</w:t>
      </w:r>
    </w:p>
    <w:p w:rsidR="00F86D12" w:rsidRDefault="00F86D12">
      <w:pPr>
        <w:keepNext w:val="0"/>
        <w:spacing w:after="200" w:line="276" w:lineRule="auto"/>
        <w:outlineLvl w:val="9"/>
        <w:rPr>
          <w:b/>
          <w:sz w:val="32"/>
          <w:szCs w:val="32"/>
        </w:rPr>
      </w:pPr>
      <w:r>
        <w:rPr>
          <w:b/>
          <w:sz w:val="32"/>
          <w:szCs w:val="32"/>
        </w:rPr>
        <w:br w:type="page"/>
      </w:r>
    </w:p>
    <w:p w:rsidR="00B83890" w:rsidRPr="00513943" w:rsidRDefault="00B83890" w:rsidP="00513943">
      <w:pPr>
        <w:pStyle w:val="Heading2"/>
      </w:pPr>
      <w:r w:rsidRPr="00513943">
        <w:lastRenderedPageBreak/>
        <w:t>Balance Sheet as at 30 June 2013</w:t>
      </w:r>
    </w:p>
    <w:p w:rsidR="00B83890" w:rsidRDefault="00B83890" w:rsidP="00B83890">
      <w:pPr>
        <w:keepNext w:val="0"/>
        <w:outlineLvl w:val="9"/>
        <w:rPr>
          <w:b/>
          <w:sz w:val="32"/>
          <w:szCs w:val="32"/>
        </w:rPr>
      </w:pPr>
    </w:p>
    <w:tbl>
      <w:tblPr>
        <w:tblW w:w="9244" w:type="dxa"/>
        <w:tblLayout w:type="fixed"/>
        <w:tblCellMar>
          <w:left w:w="30" w:type="dxa"/>
          <w:right w:w="30" w:type="dxa"/>
        </w:tblCellMar>
        <w:tblLook w:val="0000" w:firstRow="0" w:lastRow="0" w:firstColumn="0" w:lastColumn="0" w:noHBand="0" w:noVBand="0"/>
        <w:tblCaption w:val="Balance Sheet"/>
        <w:tblDescription w:val="This table shows the balance sheet for 2012–13 with comparison to 2011–12."/>
      </w:tblPr>
      <w:tblGrid>
        <w:gridCol w:w="6"/>
        <w:gridCol w:w="4804"/>
        <w:gridCol w:w="1125"/>
        <w:gridCol w:w="1827"/>
        <w:gridCol w:w="1405"/>
        <w:gridCol w:w="77"/>
      </w:tblGrid>
      <w:tr w:rsidR="00B83890" w:rsidRPr="00633B89" w:rsidTr="00D74A18">
        <w:trPr>
          <w:gridBefore w:val="1"/>
          <w:trHeight w:val="255"/>
        </w:trPr>
        <w:tc>
          <w:tcPr>
            <w:tcW w:w="4850" w:type="dxa"/>
            <w:vAlign w:val="center"/>
          </w:tcPr>
          <w:p w:rsidR="00B83890" w:rsidRPr="00633B89" w:rsidRDefault="00B83890" w:rsidP="006E6DC8">
            <w:pPr>
              <w:rPr>
                <w:color w:val="000000"/>
                <w:sz w:val="20"/>
                <w:szCs w:val="20"/>
              </w:rPr>
            </w:pPr>
          </w:p>
        </w:tc>
        <w:tc>
          <w:tcPr>
            <w:tcW w:w="1134" w:type="dxa"/>
            <w:vAlign w:val="center"/>
          </w:tcPr>
          <w:p w:rsidR="00B83890" w:rsidRPr="00633B89" w:rsidRDefault="00B83890" w:rsidP="006E6DC8">
            <w:pPr>
              <w:jc w:val="center"/>
              <w:rPr>
                <w:b/>
                <w:color w:val="000000"/>
                <w:sz w:val="20"/>
                <w:szCs w:val="20"/>
              </w:rPr>
            </w:pPr>
            <w:r w:rsidRPr="00633B89">
              <w:rPr>
                <w:b/>
                <w:sz w:val="20"/>
                <w:szCs w:val="20"/>
              </w:rPr>
              <w:t>NOTES</w:t>
            </w:r>
          </w:p>
        </w:tc>
        <w:tc>
          <w:tcPr>
            <w:tcW w:w="1843" w:type="dxa"/>
          </w:tcPr>
          <w:p w:rsidR="00B83890" w:rsidRPr="00633B89" w:rsidRDefault="00B83890" w:rsidP="006E6DC8">
            <w:pPr>
              <w:jc w:val="right"/>
              <w:rPr>
                <w:b/>
                <w:i/>
                <w:sz w:val="20"/>
                <w:szCs w:val="20"/>
                <w:lang w:val="en-GB"/>
              </w:rPr>
            </w:pPr>
            <w:r w:rsidRPr="00633B89">
              <w:rPr>
                <w:b/>
                <w:sz w:val="20"/>
                <w:szCs w:val="20"/>
                <w:lang w:val="en-GB"/>
              </w:rPr>
              <w:t>2013</w:t>
            </w:r>
          </w:p>
        </w:tc>
        <w:tc>
          <w:tcPr>
            <w:tcW w:w="1417" w:type="dxa"/>
            <w:gridSpan w:val="2"/>
          </w:tcPr>
          <w:p w:rsidR="00B83890" w:rsidRPr="00633B89" w:rsidRDefault="00B83890" w:rsidP="006E6DC8">
            <w:pPr>
              <w:jc w:val="right"/>
              <w:rPr>
                <w:b/>
                <w:i/>
                <w:sz w:val="20"/>
                <w:szCs w:val="20"/>
                <w:lang w:val="en-GB"/>
              </w:rPr>
            </w:pPr>
            <w:r w:rsidRPr="00633B89">
              <w:rPr>
                <w:b/>
                <w:sz w:val="20"/>
                <w:szCs w:val="20"/>
                <w:lang w:val="en-GB"/>
              </w:rPr>
              <w:t>2012</w:t>
            </w:r>
          </w:p>
        </w:tc>
      </w:tr>
      <w:tr w:rsidR="00B83890" w:rsidRPr="00633B89" w:rsidTr="00D74A18">
        <w:trPr>
          <w:gridBefore w:val="1"/>
          <w:trHeight w:val="255"/>
        </w:trPr>
        <w:tc>
          <w:tcPr>
            <w:tcW w:w="4850" w:type="dxa"/>
            <w:vAlign w:val="center"/>
          </w:tcPr>
          <w:p w:rsidR="00B83890" w:rsidRPr="00633B89" w:rsidRDefault="00B83890" w:rsidP="006E6DC8">
            <w:pPr>
              <w:rPr>
                <w:color w:val="000000"/>
                <w:sz w:val="20"/>
                <w:szCs w:val="20"/>
              </w:rPr>
            </w:pPr>
          </w:p>
        </w:tc>
        <w:tc>
          <w:tcPr>
            <w:tcW w:w="1134" w:type="dxa"/>
            <w:vAlign w:val="center"/>
          </w:tcPr>
          <w:p w:rsidR="00B83890" w:rsidRPr="00633B89" w:rsidRDefault="00B83890" w:rsidP="006E6DC8">
            <w:pPr>
              <w:rPr>
                <w:b/>
                <w:color w:val="000000"/>
                <w:sz w:val="20"/>
                <w:szCs w:val="20"/>
              </w:rPr>
            </w:pPr>
          </w:p>
        </w:tc>
        <w:tc>
          <w:tcPr>
            <w:tcW w:w="1843" w:type="dxa"/>
            <w:vAlign w:val="center"/>
          </w:tcPr>
          <w:p w:rsidR="00B83890" w:rsidRPr="00633B89" w:rsidRDefault="00B83890" w:rsidP="006E6DC8">
            <w:pPr>
              <w:jc w:val="right"/>
              <w:rPr>
                <w:b/>
                <w:i/>
                <w:sz w:val="20"/>
                <w:szCs w:val="20"/>
                <w:lang w:val="en-GB"/>
              </w:rPr>
            </w:pPr>
            <w:r w:rsidRPr="00633B89">
              <w:rPr>
                <w:b/>
                <w:sz w:val="20"/>
                <w:szCs w:val="20"/>
                <w:lang w:val="en-GB"/>
              </w:rPr>
              <w:t>$’000</w:t>
            </w:r>
          </w:p>
        </w:tc>
        <w:tc>
          <w:tcPr>
            <w:tcW w:w="1417" w:type="dxa"/>
            <w:gridSpan w:val="2"/>
            <w:vAlign w:val="center"/>
          </w:tcPr>
          <w:p w:rsidR="00B83890" w:rsidRPr="00633B89" w:rsidRDefault="00B83890" w:rsidP="006E6DC8">
            <w:pPr>
              <w:jc w:val="right"/>
              <w:rPr>
                <w:b/>
                <w:i/>
                <w:sz w:val="20"/>
                <w:szCs w:val="20"/>
                <w:lang w:val="en-GB"/>
              </w:rPr>
            </w:pPr>
            <w:r w:rsidRPr="00633B89">
              <w:rPr>
                <w:b/>
                <w:sz w:val="20"/>
                <w:szCs w:val="20"/>
                <w:lang w:val="en-GB"/>
              </w:rPr>
              <w:t>$’000</w:t>
            </w:r>
          </w:p>
        </w:tc>
      </w:tr>
      <w:tr w:rsidR="00B83890" w:rsidRPr="00633B89" w:rsidTr="00D74A18">
        <w:trPr>
          <w:gridBefore w:val="1"/>
          <w:trHeight w:val="255"/>
        </w:trPr>
        <w:tc>
          <w:tcPr>
            <w:tcW w:w="4850" w:type="dxa"/>
            <w:vAlign w:val="center"/>
          </w:tcPr>
          <w:p w:rsidR="00B83890" w:rsidRPr="00633B89" w:rsidRDefault="00B83890" w:rsidP="006E6DC8">
            <w:pPr>
              <w:pStyle w:val="Heading3"/>
              <w:rPr>
                <w:i/>
                <w:sz w:val="20"/>
                <w:szCs w:val="20"/>
              </w:rPr>
            </w:pPr>
            <w:r w:rsidRPr="00633B89">
              <w:rPr>
                <w:sz w:val="20"/>
                <w:szCs w:val="20"/>
              </w:rPr>
              <w:t>Assets</w:t>
            </w:r>
          </w:p>
        </w:tc>
        <w:tc>
          <w:tcPr>
            <w:tcW w:w="1134" w:type="dxa"/>
            <w:vAlign w:val="center"/>
          </w:tcPr>
          <w:p w:rsidR="00B83890" w:rsidRPr="00633B89" w:rsidRDefault="00B83890" w:rsidP="006E6DC8">
            <w:pPr>
              <w:rPr>
                <w:b/>
                <w:i/>
                <w:color w:val="000000"/>
                <w:sz w:val="20"/>
                <w:szCs w:val="20"/>
              </w:rPr>
            </w:pPr>
          </w:p>
        </w:tc>
        <w:tc>
          <w:tcPr>
            <w:tcW w:w="1843" w:type="dxa"/>
            <w:vAlign w:val="center"/>
          </w:tcPr>
          <w:p w:rsidR="00B83890" w:rsidRPr="00633B89" w:rsidRDefault="00B83890" w:rsidP="006E6DC8">
            <w:pPr>
              <w:rPr>
                <w:color w:val="000000"/>
                <w:sz w:val="20"/>
                <w:szCs w:val="20"/>
              </w:rPr>
            </w:pPr>
          </w:p>
        </w:tc>
        <w:tc>
          <w:tcPr>
            <w:tcW w:w="1417" w:type="dxa"/>
            <w:gridSpan w:val="2"/>
            <w:vAlign w:val="center"/>
          </w:tcPr>
          <w:p w:rsidR="00B83890" w:rsidRPr="00633B89" w:rsidRDefault="00B83890" w:rsidP="006E6DC8">
            <w:pPr>
              <w:rPr>
                <w:color w:val="000000"/>
                <w:sz w:val="20"/>
                <w:szCs w:val="20"/>
              </w:rPr>
            </w:pPr>
          </w:p>
        </w:tc>
      </w:tr>
      <w:tr w:rsidR="00B83890" w:rsidRPr="00633B89" w:rsidTr="00D74A18">
        <w:trPr>
          <w:gridBefore w:val="1"/>
          <w:trHeight w:val="255"/>
        </w:trPr>
        <w:tc>
          <w:tcPr>
            <w:tcW w:w="4850" w:type="dxa"/>
            <w:vAlign w:val="center"/>
          </w:tcPr>
          <w:p w:rsidR="00B83890" w:rsidRPr="00633B89" w:rsidRDefault="00B83890" w:rsidP="006E6DC8">
            <w:pPr>
              <w:rPr>
                <w:b/>
                <w:color w:val="000000"/>
                <w:sz w:val="20"/>
                <w:szCs w:val="20"/>
              </w:rPr>
            </w:pPr>
            <w:r w:rsidRPr="00633B89">
              <w:rPr>
                <w:b/>
                <w:color w:val="000000"/>
                <w:sz w:val="20"/>
                <w:szCs w:val="20"/>
              </w:rPr>
              <w:t>Financial Assets</w:t>
            </w:r>
          </w:p>
        </w:tc>
        <w:tc>
          <w:tcPr>
            <w:tcW w:w="1134" w:type="dxa"/>
            <w:vAlign w:val="center"/>
          </w:tcPr>
          <w:p w:rsidR="00B83890" w:rsidRPr="00633B89" w:rsidRDefault="00B83890" w:rsidP="006E6DC8">
            <w:pPr>
              <w:jc w:val="center"/>
              <w:rPr>
                <w:color w:val="000000"/>
                <w:sz w:val="20"/>
                <w:szCs w:val="20"/>
              </w:rPr>
            </w:pPr>
          </w:p>
        </w:tc>
        <w:tc>
          <w:tcPr>
            <w:tcW w:w="1843" w:type="dxa"/>
            <w:vAlign w:val="center"/>
          </w:tcPr>
          <w:p w:rsidR="00B83890" w:rsidRPr="00633B89" w:rsidRDefault="00B83890" w:rsidP="006E6DC8">
            <w:pPr>
              <w:jc w:val="right"/>
              <w:rPr>
                <w:color w:val="000000"/>
                <w:sz w:val="20"/>
                <w:szCs w:val="20"/>
              </w:rPr>
            </w:pPr>
          </w:p>
        </w:tc>
        <w:tc>
          <w:tcPr>
            <w:tcW w:w="1417" w:type="dxa"/>
            <w:gridSpan w:val="2"/>
            <w:vAlign w:val="center"/>
          </w:tcPr>
          <w:p w:rsidR="00B83890" w:rsidRPr="00633B89" w:rsidRDefault="00B83890" w:rsidP="006E6DC8">
            <w:pPr>
              <w:jc w:val="right"/>
              <w:rPr>
                <w:color w:val="000000"/>
                <w:sz w:val="20"/>
                <w:szCs w:val="20"/>
              </w:rPr>
            </w:pPr>
          </w:p>
        </w:tc>
      </w:tr>
      <w:tr w:rsidR="00B83890" w:rsidRPr="00633B89" w:rsidTr="00D74A18">
        <w:trPr>
          <w:gridBefore w:val="1"/>
          <w:trHeight w:val="255"/>
        </w:trPr>
        <w:tc>
          <w:tcPr>
            <w:tcW w:w="4850" w:type="dxa"/>
            <w:vAlign w:val="center"/>
          </w:tcPr>
          <w:p w:rsidR="00B83890" w:rsidRPr="00633B89" w:rsidRDefault="00B83890" w:rsidP="006E6DC8">
            <w:pPr>
              <w:rPr>
                <w:color w:val="000000"/>
                <w:sz w:val="20"/>
                <w:szCs w:val="20"/>
              </w:rPr>
            </w:pPr>
            <w:r w:rsidRPr="00633B89">
              <w:rPr>
                <w:color w:val="000000"/>
                <w:sz w:val="20"/>
                <w:szCs w:val="20"/>
              </w:rPr>
              <w:t>Cash and Cash Equivalents</w:t>
            </w:r>
          </w:p>
        </w:tc>
        <w:tc>
          <w:tcPr>
            <w:tcW w:w="1134" w:type="dxa"/>
            <w:vAlign w:val="center"/>
          </w:tcPr>
          <w:p w:rsidR="00B83890" w:rsidRPr="00633B89" w:rsidRDefault="00B83890" w:rsidP="006E6DC8">
            <w:pPr>
              <w:jc w:val="center"/>
              <w:rPr>
                <w:color w:val="000000"/>
                <w:sz w:val="20"/>
                <w:szCs w:val="20"/>
              </w:rPr>
            </w:pPr>
            <w:r w:rsidRPr="00633B89">
              <w:rPr>
                <w:color w:val="000000"/>
                <w:sz w:val="20"/>
                <w:szCs w:val="20"/>
              </w:rPr>
              <w:t>6,15(a)</w:t>
            </w:r>
          </w:p>
        </w:tc>
        <w:tc>
          <w:tcPr>
            <w:tcW w:w="1843" w:type="dxa"/>
            <w:vAlign w:val="center"/>
          </w:tcPr>
          <w:p w:rsidR="00B83890" w:rsidRPr="00633B89" w:rsidRDefault="00B83890" w:rsidP="006E6DC8">
            <w:pPr>
              <w:ind w:right="-30"/>
              <w:jc w:val="right"/>
              <w:rPr>
                <w:color w:val="000000"/>
                <w:sz w:val="20"/>
                <w:szCs w:val="20"/>
              </w:rPr>
            </w:pPr>
            <w:r w:rsidRPr="00633B89">
              <w:rPr>
                <w:color w:val="000000"/>
                <w:sz w:val="20"/>
                <w:szCs w:val="20"/>
              </w:rPr>
              <w:t>24,398</w:t>
            </w:r>
          </w:p>
        </w:tc>
        <w:tc>
          <w:tcPr>
            <w:tcW w:w="1417" w:type="dxa"/>
            <w:gridSpan w:val="2"/>
            <w:vAlign w:val="center"/>
          </w:tcPr>
          <w:p w:rsidR="00B83890" w:rsidRPr="00633B89" w:rsidRDefault="00B83890" w:rsidP="006E6DC8">
            <w:pPr>
              <w:ind w:right="-30"/>
              <w:jc w:val="right"/>
              <w:rPr>
                <w:color w:val="000000"/>
                <w:sz w:val="20"/>
                <w:szCs w:val="20"/>
              </w:rPr>
            </w:pPr>
            <w:r w:rsidRPr="00633B89">
              <w:rPr>
                <w:color w:val="000000"/>
                <w:sz w:val="20"/>
                <w:szCs w:val="20"/>
              </w:rPr>
              <w:t>25,805</w:t>
            </w:r>
          </w:p>
        </w:tc>
      </w:tr>
      <w:tr w:rsidR="00B83890" w:rsidRPr="00633B89" w:rsidTr="00D74A18">
        <w:tblPrEx>
          <w:tblCellMar>
            <w:left w:w="108" w:type="dxa"/>
            <w:right w:w="108" w:type="dxa"/>
          </w:tblCellMar>
        </w:tblPrEx>
        <w:trPr>
          <w:gridAfter w:val="1"/>
          <w:wAfter w:w="78" w:type="dxa"/>
          <w:trHeight w:val="255"/>
        </w:trPr>
        <w:tc>
          <w:tcPr>
            <w:tcW w:w="4850" w:type="dxa"/>
            <w:gridSpan w:val="2"/>
            <w:tcBorders>
              <w:bottom w:val="single" w:sz="6" w:space="0" w:color="000000"/>
            </w:tcBorders>
          </w:tcPr>
          <w:p w:rsidR="00B83890" w:rsidRPr="00633B89" w:rsidRDefault="00B83890" w:rsidP="006E6DC8">
            <w:pPr>
              <w:ind w:left="-78"/>
              <w:rPr>
                <w:color w:val="000000"/>
                <w:sz w:val="20"/>
                <w:szCs w:val="20"/>
              </w:rPr>
            </w:pPr>
            <w:r w:rsidRPr="00633B89">
              <w:rPr>
                <w:color w:val="000000"/>
                <w:sz w:val="20"/>
                <w:szCs w:val="20"/>
              </w:rPr>
              <w:t>Receivables</w:t>
            </w:r>
          </w:p>
        </w:tc>
        <w:tc>
          <w:tcPr>
            <w:tcW w:w="1134" w:type="dxa"/>
            <w:tcBorders>
              <w:bottom w:val="single" w:sz="6" w:space="0" w:color="000000"/>
            </w:tcBorders>
          </w:tcPr>
          <w:p w:rsidR="00B83890" w:rsidRPr="00633B89" w:rsidRDefault="00B83890" w:rsidP="006E6DC8">
            <w:pPr>
              <w:jc w:val="center"/>
              <w:rPr>
                <w:color w:val="000000"/>
                <w:sz w:val="20"/>
                <w:szCs w:val="20"/>
              </w:rPr>
            </w:pPr>
            <w:r w:rsidRPr="00633B89">
              <w:rPr>
                <w:color w:val="000000"/>
                <w:sz w:val="20"/>
                <w:szCs w:val="20"/>
              </w:rPr>
              <w:t>7</w:t>
            </w:r>
          </w:p>
        </w:tc>
        <w:tc>
          <w:tcPr>
            <w:tcW w:w="1843" w:type="dxa"/>
            <w:tcBorders>
              <w:bottom w:val="single" w:sz="6" w:space="0" w:color="000000"/>
            </w:tcBorders>
            <w:vAlign w:val="center"/>
          </w:tcPr>
          <w:p w:rsidR="00B83890" w:rsidRPr="00633B89" w:rsidRDefault="00B83890" w:rsidP="00751664">
            <w:pPr>
              <w:ind w:right="-108" w:firstLine="459"/>
              <w:jc w:val="right"/>
              <w:rPr>
                <w:color w:val="000000"/>
                <w:sz w:val="20"/>
                <w:szCs w:val="20"/>
              </w:rPr>
            </w:pPr>
            <w:r w:rsidRPr="00633B89">
              <w:rPr>
                <w:color w:val="000000"/>
                <w:sz w:val="20"/>
                <w:szCs w:val="20"/>
              </w:rPr>
              <w:t>1,893</w:t>
            </w:r>
          </w:p>
        </w:tc>
        <w:tc>
          <w:tcPr>
            <w:tcW w:w="1417" w:type="dxa"/>
            <w:tcBorders>
              <w:bottom w:val="single" w:sz="6" w:space="0" w:color="000000"/>
            </w:tcBorders>
            <w:vAlign w:val="center"/>
          </w:tcPr>
          <w:p w:rsidR="00B83890" w:rsidRPr="00633B89" w:rsidRDefault="00B83890" w:rsidP="00751664">
            <w:pPr>
              <w:ind w:right="-108"/>
              <w:jc w:val="right"/>
              <w:rPr>
                <w:color w:val="000000"/>
                <w:sz w:val="20"/>
                <w:szCs w:val="20"/>
              </w:rPr>
            </w:pPr>
            <w:r w:rsidRPr="00633B89">
              <w:rPr>
                <w:color w:val="000000"/>
                <w:sz w:val="20"/>
                <w:szCs w:val="20"/>
              </w:rPr>
              <w:t xml:space="preserve">  2,829</w:t>
            </w:r>
          </w:p>
        </w:tc>
      </w:tr>
      <w:tr w:rsidR="00B83890" w:rsidRPr="00633B89" w:rsidTr="00D74A18">
        <w:tblPrEx>
          <w:tblCellMar>
            <w:left w:w="108" w:type="dxa"/>
            <w:right w:w="108" w:type="dxa"/>
          </w:tblCellMar>
        </w:tblPrEx>
        <w:trPr>
          <w:gridAfter w:val="1"/>
          <w:wAfter w:w="78" w:type="dxa"/>
          <w:trHeight w:val="206"/>
        </w:trPr>
        <w:tc>
          <w:tcPr>
            <w:tcW w:w="4850" w:type="dxa"/>
            <w:gridSpan w:val="2"/>
            <w:tcBorders>
              <w:bottom w:val="single" w:sz="4" w:space="0" w:color="auto"/>
            </w:tcBorders>
            <w:vAlign w:val="center"/>
          </w:tcPr>
          <w:p w:rsidR="00B83890" w:rsidRPr="00633B89" w:rsidRDefault="00B83890" w:rsidP="006E6DC8">
            <w:pPr>
              <w:pStyle w:val="Heading2"/>
              <w:ind w:left="-78"/>
              <w:rPr>
                <w:i/>
                <w:sz w:val="20"/>
                <w:szCs w:val="20"/>
              </w:rPr>
            </w:pPr>
            <w:r w:rsidRPr="00633B89">
              <w:rPr>
                <w:sz w:val="20"/>
                <w:szCs w:val="20"/>
              </w:rPr>
              <w:t>Total Financial Assets</w:t>
            </w:r>
          </w:p>
        </w:tc>
        <w:tc>
          <w:tcPr>
            <w:tcW w:w="1134" w:type="dxa"/>
            <w:tcBorders>
              <w:bottom w:val="single" w:sz="4" w:space="0" w:color="auto"/>
            </w:tcBorders>
            <w:vAlign w:val="center"/>
          </w:tcPr>
          <w:p w:rsidR="00B83890" w:rsidRPr="00633B89" w:rsidRDefault="00B83890" w:rsidP="006E6DC8">
            <w:pPr>
              <w:jc w:val="right"/>
              <w:rPr>
                <w:b/>
                <w:i/>
                <w:color w:val="000000"/>
                <w:sz w:val="20"/>
                <w:szCs w:val="20"/>
              </w:rPr>
            </w:pPr>
          </w:p>
        </w:tc>
        <w:tc>
          <w:tcPr>
            <w:tcW w:w="1843" w:type="dxa"/>
            <w:tcBorders>
              <w:bottom w:val="single" w:sz="4" w:space="0" w:color="auto"/>
            </w:tcBorders>
            <w:vAlign w:val="center"/>
          </w:tcPr>
          <w:p w:rsidR="00B83890" w:rsidRPr="00633B89" w:rsidRDefault="00B83890" w:rsidP="006E6DC8">
            <w:pPr>
              <w:ind w:right="-108"/>
              <w:jc w:val="right"/>
              <w:rPr>
                <w:b/>
                <w:color w:val="000000"/>
                <w:sz w:val="20"/>
                <w:szCs w:val="20"/>
              </w:rPr>
            </w:pPr>
            <w:r w:rsidRPr="00633B89">
              <w:rPr>
                <w:b/>
                <w:color w:val="000000"/>
                <w:sz w:val="20"/>
                <w:szCs w:val="20"/>
              </w:rPr>
              <w:t>26,291</w:t>
            </w:r>
          </w:p>
        </w:tc>
        <w:tc>
          <w:tcPr>
            <w:tcW w:w="1417" w:type="dxa"/>
            <w:tcBorders>
              <w:bottom w:val="single" w:sz="4" w:space="0" w:color="auto"/>
            </w:tcBorders>
            <w:vAlign w:val="center"/>
          </w:tcPr>
          <w:p w:rsidR="00B83890" w:rsidRPr="00633B89" w:rsidRDefault="00B83890" w:rsidP="006E6DC8">
            <w:pPr>
              <w:ind w:right="-108"/>
              <w:jc w:val="right"/>
              <w:rPr>
                <w:b/>
                <w:color w:val="000000"/>
                <w:sz w:val="20"/>
                <w:szCs w:val="20"/>
              </w:rPr>
            </w:pPr>
            <w:r w:rsidRPr="00633B89">
              <w:rPr>
                <w:b/>
                <w:color w:val="000000"/>
                <w:sz w:val="20"/>
                <w:szCs w:val="20"/>
              </w:rPr>
              <w:t xml:space="preserve">   28,634</w:t>
            </w:r>
          </w:p>
        </w:tc>
      </w:tr>
      <w:tr w:rsidR="00B83890" w:rsidRPr="00633B89" w:rsidTr="00D74A18">
        <w:tblPrEx>
          <w:tblCellMar>
            <w:left w:w="108" w:type="dxa"/>
            <w:right w:w="108" w:type="dxa"/>
          </w:tblCellMar>
        </w:tblPrEx>
        <w:trPr>
          <w:gridAfter w:val="1"/>
          <w:wAfter w:w="78" w:type="dxa"/>
          <w:trHeight w:hRule="exact" w:val="177"/>
        </w:trPr>
        <w:tc>
          <w:tcPr>
            <w:tcW w:w="4850" w:type="dxa"/>
            <w:gridSpan w:val="2"/>
            <w:tcBorders>
              <w:top w:val="single" w:sz="4" w:space="0" w:color="auto"/>
            </w:tcBorders>
          </w:tcPr>
          <w:p w:rsidR="00B83890" w:rsidRPr="00633B89" w:rsidRDefault="00B83890" w:rsidP="006E6DC8">
            <w:pPr>
              <w:rPr>
                <w:b/>
                <w:color w:val="000000"/>
                <w:sz w:val="20"/>
                <w:szCs w:val="20"/>
              </w:rPr>
            </w:pPr>
          </w:p>
        </w:tc>
        <w:tc>
          <w:tcPr>
            <w:tcW w:w="1134" w:type="dxa"/>
            <w:tcBorders>
              <w:top w:val="single" w:sz="4" w:space="0" w:color="auto"/>
            </w:tcBorders>
          </w:tcPr>
          <w:p w:rsidR="00B83890" w:rsidRPr="00633B89" w:rsidRDefault="00B83890" w:rsidP="006E6DC8">
            <w:pPr>
              <w:jc w:val="center"/>
              <w:rPr>
                <w:b/>
                <w:i/>
                <w:color w:val="000000"/>
                <w:sz w:val="20"/>
                <w:szCs w:val="20"/>
              </w:rPr>
            </w:pPr>
          </w:p>
        </w:tc>
        <w:tc>
          <w:tcPr>
            <w:tcW w:w="1843" w:type="dxa"/>
            <w:tcBorders>
              <w:top w:val="single" w:sz="4" w:space="0" w:color="auto"/>
            </w:tcBorders>
          </w:tcPr>
          <w:p w:rsidR="00B83890" w:rsidRPr="00633B89" w:rsidRDefault="00B83890" w:rsidP="006E6DC8">
            <w:pPr>
              <w:jc w:val="right"/>
              <w:rPr>
                <w:color w:val="000000"/>
                <w:sz w:val="20"/>
                <w:szCs w:val="20"/>
              </w:rPr>
            </w:pPr>
          </w:p>
        </w:tc>
        <w:tc>
          <w:tcPr>
            <w:tcW w:w="1417" w:type="dxa"/>
            <w:tcBorders>
              <w:top w:val="single" w:sz="4" w:space="0" w:color="auto"/>
            </w:tcBorders>
          </w:tcPr>
          <w:p w:rsidR="00B83890" w:rsidRPr="00633B89" w:rsidRDefault="00B83890" w:rsidP="006E6DC8">
            <w:pPr>
              <w:jc w:val="right"/>
              <w:rPr>
                <w:color w:val="000000"/>
                <w:sz w:val="20"/>
                <w:szCs w:val="20"/>
              </w:rPr>
            </w:pPr>
          </w:p>
        </w:tc>
      </w:tr>
      <w:tr w:rsidR="00B83890" w:rsidRPr="00633B89" w:rsidTr="00D74A18">
        <w:trPr>
          <w:gridBefore w:val="1"/>
          <w:trHeight w:val="255"/>
        </w:trPr>
        <w:tc>
          <w:tcPr>
            <w:tcW w:w="4850" w:type="dxa"/>
            <w:vAlign w:val="center"/>
          </w:tcPr>
          <w:p w:rsidR="00B83890" w:rsidRPr="00633B89" w:rsidRDefault="00B83890" w:rsidP="006E6DC8">
            <w:pPr>
              <w:pStyle w:val="Heading3"/>
              <w:rPr>
                <w:i/>
                <w:sz w:val="20"/>
                <w:szCs w:val="20"/>
              </w:rPr>
            </w:pPr>
            <w:r w:rsidRPr="00633B89">
              <w:rPr>
                <w:sz w:val="20"/>
                <w:szCs w:val="20"/>
              </w:rPr>
              <w:t>Non-Financial Assets</w:t>
            </w:r>
          </w:p>
        </w:tc>
        <w:tc>
          <w:tcPr>
            <w:tcW w:w="1134" w:type="dxa"/>
            <w:vAlign w:val="center"/>
          </w:tcPr>
          <w:p w:rsidR="00B83890" w:rsidRPr="00633B89" w:rsidRDefault="00B83890" w:rsidP="006E6DC8">
            <w:pPr>
              <w:jc w:val="center"/>
              <w:rPr>
                <w:i/>
                <w:color w:val="000000"/>
                <w:sz w:val="20"/>
                <w:szCs w:val="20"/>
              </w:rPr>
            </w:pPr>
          </w:p>
        </w:tc>
        <w:tc>
          <w:tcPr>
            <w:tcW w:w="1843" w:type="dxa"/>
            <w:vAlign w:val="center"/>
          </w:tcPr>
          <w:p w:rsidR="00B83890" w:rsidRPr="00633B89" w:rsidRDefault="00B83890" w:rsidP="006E6DC8">
            <w:pPr>
              <w:jc w:val="right"/>
              <w:rPr>
                <w:color w:val="000000"/>
                <w:sz w:val="20"/>
                <w:szCs w:val="20"/>
              </w:rPr>
            </w:pPr>
          </w:p>
        </w:tc>
        <w:tc>
          <w:tcPr>
            <w:tcW w:w="1417" w:type="dxa"/>
            <w:gridSpan w:val="2"/>
            <w:vAlign w:val="center"/>
          </w:tcPr>
          <w:p w:rsidR="00B83890" w:rsidRPr="00633B89" w:rsidRDefault="00B83890" w:rsidP="006E6DC8">
            <w:pPr>
              <w:jc w:val="right"/>
              <w:rPr>
                <w:color w:val="000000"/>
                <w:sz w:val="20"/>
                <w:szCs w:val="20"/>
              </w:rPr>
            </w:pPr>
          </w:p>
        </w:tc>
      </w:tr>
      <w:tr w:rsidR="00B83890" w:rsidRPr="00633B89" w:rsidTr="00D74A18">
        <w:trPr>
          <w:gridBefore w:val="1"/>
          <w:trHeight w:val="255"/>
        </w:trPr>
        <w:tc>
          <w:tcPr>
            <w:tcW w:w="4850" w:type="dxa"/>
            <w:vAlign w:val="center"/>
          </w:tcPr>
          <w:p w:rsidR="00B83890" w:rsidRPr="00633B89" w:rsidRDefault="00B83890" w:rsidP="006E6DC8">
            <w:pPr>
              <w:rPr>
                <w:color w:val="000000"/>
                <w:sz w:val="20"/>
                <w:szCs w:val="20"/>
              </w:rPr>
            </w:pPr>
            <w:r w:rsidRPr="00633B89">
              <w:rPr>
                <w:color w:val="000000"/>
                <w:sz w:val="20"/>
                <w:szCs w:val="20"/>
              </w:rPr>
              <w:t>Prepayments</w:t>
            </w:r>
          </w:p>
        </w:tc>
        <w:tc>
          <w:tcPr>
            <w:tcW w:w="1134" w:type="dxa"/>
            <w:vAlign w:val="center"/>
          </w:tcPr>
          <w:p w:rsidR="00B83890" w:rsidRPr="00633B89" w:rsidRDefault="00B83890" w:rsidP="006E6DC8">
            <w:pPr>
              <w:jc w:val="center"/>
              <w:rPr>
                <w:color w:val="000000"/>
                <w:sz w:val="20"/>
                <w:szCs w:val="20"/>
              </w:rPr>
            </w:pPr>
            <w:r w:rsidRPr="00633B89">
              <w:rPr>
                <w:color w:val="000000"/>
                <w:sz w:val="20"/>
                <w:szCs w:val="20"/>
              </w:rPr>
              <w:t>8</w:t>
            </w:r>
          </w:p>
        </w:tc>
        <w:tc>
          <w:tcPr>
            <w:tcW w:w="1843" w:type="dxa"/>
            <w:vAlign w:val="bottom"/>
          </w:tcPr>
          <w:p w:rsidR="00B83890" w:rsidRPr="00633B89" w:rsidRDefault="00B83890" w:rsidP="006E6DC8">
            <w:pPr>
              <w:ind w:right="-30"/>
              <w:jc w:val="right"/>
              <w:rPr>
                <w:sz w:val="20"/>
                <w:szCs w:val="20"/>
              </w:rPr>
            </w:pPr>
            <w:r w:rsidRPr="00633B89">
              <w:rPr>
                <w:sz w:val="20"/>
                <w:szCs w:val="20"/>
              </w:rPr>
              <w:t>93</w:t>
            </w:r>
          </w:p>
        </w:tc>
        <w:tc>
          <w:tcPr>
            <w:tcW w:w="1417" w:type="dxa"/>
            <w:gridSpan w:val="2"/>
            <w:vAlign w:val="center"/>
          </w:tcPr>
          <w:p w:rsidR="00B83890" w:rsidRPr="00633B89" w:rsidRDefault="00B83890" w:rsidP="00751664">
            <w:pPr>
              <w:jc w:val="right"/>
              <w:rPr>
                <w:sz w:val="20"/>
                <w:szCs w:val="20"/>
              </w:rPr>
            </w:pPr>
            <w:r w:rsidRPr="00633B89">
              <w:rPr>
                <w:sz w:val="20"/>
                <w:szCs w:val="20"/>
              </w:rPr>
              <w:t>0</w:t>
            </w:r>
          </w:p>
        </w:tc>
      </w:tr>
      <w:tr w:rsidR="00B83890" w:rsidRPr="00633B89" w:rsidTr="00D74A18">
        <w:trPr>
          <w:gridBefore w:val="1"/>
          <w:trHeight w:val="255"/>
        </w:trPr>
        <w:tc>
          <w:tcPr>
            <w:tcW w:w="4850" w:type="dxa"/>
            <w:vAlign w:val="center"/>
          </w:tcPr>
          <w:p w:rsidR="00B83890" w:rsidRPr="00633B89" w:rsidRDefault="00B83890" w:rsidP="006E6DC8">
            <w:pPr>
              <w:rPr>
                <w:color w:val="000000"/>
                <w:sz w:val="20"/>
                <w:szCs w:val="20"/>
              </w:rPr>
            </w:pPr>
            <w:r w:rsidRPr="00633B89">
              <w:rPr>
                <w:color w:val="000000"/>
                <w:sz w:val="20"/>
                <w:szCs w:val="20"/>
              </w:rPr>
              <w:t>Inventories</w:t>
            </w:r>
          </w:p>
        </w:tc>
        <w:tc>
          <w:tcPr>
            <w:tcW w:w="1134" w:type="dxa"/>
            <w:vAlign w:val="center"/>
          </w:tcPr>
          <w:p w:rsidR="00B83890" w:rsidRPr="00633B89" w:rsidRDefault="00B83890" w:rsidP="006E6DC8">
            <w:pPr>
              <w:jc w:val="center"/>
              <w:rPr>
                <w:color w:val="000000"/>
                <w:sz w:val="20"/>
                <w:szCs w:val="20"/>
              </w:rPr>
            </w:pPr>
          </w:p>
        </w:tc>
        <w:tc>
          <w:tcPr>
            <w:tcW w:w="1843" w:type="dxa"/>
            <w:vAlign w:val="center"/>
          </w:tcPr>
          <w:p w:rsidR="00B83890" w:rsidRPr="00633B89" w:rsidRDefault="00B83890" w:rsidP="009C0D27">
            <w:pPr>
              <w:ind w:right="-30"/>
              <w:jc w:val="right"/>
              <w:rPr>
                <w:color w:val="000000"/>
                <w:sz w:val="20"/>
                <w:szCs w:val="20"/>
              </w:rPr>
            </w:pPr>
            <w:r w:rsidRPr="00633B89">
              <w:rPr>
                <w:color w:val="000000"/>
                <w:sz w:val="20"/>
                <w:szCs w:val="20"/>
              </w:rPr>
              <w:t>1,303</w:t>
            </w:r>
          </w:p>
        </w:tc>
        <w:tc>
          <w:tcPr>
            <w:tcW w:w="1417" w:type="dxa"/>
            <w:gridSpan w:val="2"/>
            <w:vAlign w:val="center"/>
          </w:tcPr>
          <w:p w:rsidR="00B83890" w:rsidRPr="00633B89" w:rsidRDefault="00B83890" w:rsidP="009C0D27">
            <w:pPr>
              <w:jc w:val="right"/>
              <w:rPr>
                <w:color w:val="000000"/>
                <w:sz w:val="20"/>
                <w:szCs w:val="20"/>
              </w:rPr>
            </w:pPr>
            <w:r w:rsidRPr="00633B89">
              <w:rPr>
                <w:color w:val="000000"/>
                <w:sz w:val="20"/>
                <w:szCs w:val="20"/>
              </w:rPr>
              <w:t>1,203</w:t>
            </w:r>
          </w:p>
        </w:tc>
      </w:tr>
      <w:tr w:rsidR="00B83890" w:rsidRPr="00633B89" w:rsidTr="00D74A18">
        <w:trPr>
          <w:gridBefore w:val="1"/>
          <w:trHeight w:val="255"/>
        </w:trPr>
        <w:tc>
          <w:tcPr>
            <w:tcW w:w="4850" w:type="dxa"/>
            <w:vAlign w:val="center"/>
          </w:tcPr>
          <w:p w:rsidR="00B83890" w:rsidRPr="00633B89" w:rsidRDefault="00B83890" w:rsidP="006E6DC8">
            <w:pPr>
              <w:rPr>
                <w:color w:val="000000"/>
                <w:sz w:val="20"/>
                <w:szCs w:val="20"/>
              </w:rPr>
            </w:pPr>
            <w:r w:rsidRPr="00633B89">
              <w:rPr>
                <w:color w:val="000000"/>
                <w:sz w:val="20"/>
                <w:szCs w:val="20"/>
              </w:rPr>
              <w:t>Property, Plant and Equipment and W.I.P.</w:t>
            </w:r>
          </w:p>
        </w:tc>
        <w:tc>
          <w:tcPr>
            <w:tcW w:w="1134" w:type="dxa"/>
            <w:vAlign w:val="center"/>
          </w:tcPr>
          <w:p w:rsidR="00B83890" w:rsidRPr="00633B89" w:rsidRDefault="00B83890" w:rsidP="006E6DC8">
            <w:pPr>
              <w:ind w:left="-172" w:right="-172" w:hanging="142"/>
              <w:jc w:val="center"/>
              <w:rPr>
                <w:color w:val="000000"/>
                <w:sz w:val="20"/>
                <w:szCs w:val="20"/>
              </w:rPr>
            </w:pPr>
            <w:r w:rsidRPr="00633B89">
              <w:rPr>
                <w:color w:val="000000"/>
                <w:sz w:val="20"/>
                <w:szCs w:val="20"/>
              </w:rPr>
              <w:t>9(b),(c)</w:t>
            </w:r>
          </w:p>
        </w:tc>
        <w:tc>
          <w:tcPr>
            <w:tcW w:w="1843" w:type="dxa"/>
            <w:vAlign w:val="bottom"/>
          </w:tcPr>
          <w:p w:rsidR="00B83890" w:rsidRPr="00633B89" w:rsidRDefault="00B83890" w:rsidP="006E6DC8">
            <w:pPr>
              <w:ind w:right="-30"/>
              <w:jc w:val="right"/>
              <w:rPr>
                <w:sz w:val="20"/>
                <w:szCs w:val="20"/>
              </w:rPr>
            </w:pPr>
            <w:r w:rsidRPr="00633B89">
              <w:rPr>
                <w:sz w:val="20"/>
                <w:szCs w:val="20"/>
              </w:rPr>
              <w:t>512,618</w:t>
            </w:r>
          </w:p>
        </w:tc>
        <w:tc>
          <w:tcPr>
            <w:tcW w:w="1417" w:type="dxa"/>
            <w:gridSpan w:val="2"/>
            <w:vAlign w:val="center"/>
          </w:tcPr>
          <w:p w:rsidR="00B83890" w:rsidRPr="00633B89" w:rsidRDefault="00B83890" w:rsidP="00751664">
            <w:pPr>
              <w:ind w:right="-30"/>
              <w:jc w:val="right"/>
              <w:rPr>
                <w:sz w:val="20"/>
                <w:szCs w:val="20"/>
              </w:rPr>
            </w:pPr>
            <w:r w:rsidRPr="00633B89">
              <w:rPr>
                <w:sz w:val="20"/>
                <w:szCs w:val="20"/>
              </w:rPr>
              <w:t>527,947</w:t>
            </w:r>
          </w:p>
        </w:tc>
      </w:tr>
      <w:tr w:rsidR="00B83890" w:rsidRPr="00633B89" w:rsidTr="00D74A18">
        <w:trPr>
          <w:gridBefore w:val="1"/>
          <w:trHeight w:val="255"/>
        </w:trPr>
        <w:tc>
          <w:tcPr>
            <w:tcW w:w="4850" w:type="dxa"/>
            <w:vAlign w:val="center"/>
          </w:tcPr>
          <w:p w:rsidR="00B83890" w:rsidRPr="00633B89" w:rsidRDefault="00B83890" w:rsidP="006E6DC8">
            <w:pPr>
              <w:rPr>
                <w:color w:val="000000"/>
                <w:sz w:val="20"/>
                <w:szCs w:val="20"/>
              </w:rPr>
            </w:pPr>
            <w:r w:rsidRPr="00633B89">
              <w:rPr>
                <w:color w:val="000000"/>
                <w:sz w:val="20"/>
                <w:szCs w:val="20"/>
              </w:rPr>
              <w:t>Exhibitions and W.I.P.</w:t>
            </w:r>
          </w:p>
        </w:tc>
        <w:tc>
          <w:tcPr>
            <w:tcW w:w="1134" w:type="dxa"/>
            <w:vAlign w:val="center"/>
          </w:tcPr>
          <w:p w:rsidR="00B83890" w:rsidRPr="00633B89" w:rsidRDefault="00B83890" w:rsidP="006E6DC8">
            <w:pPr>
              <w:ind w:left="-172" w:right="-172" w:hanging="142"/>
              <w:jc w:val="center"/>
              <w:rPr>
                <w:color w:val="000000"/>
                <w:sz w:val="20"/>
                <w:szCs w:val="20"/>
              </w:rPr>
            </w:pPr>
            <w:r w:rsidRPr="00633B89">
              <w:rPr>
                <w:color w:val="000000"/>
                <w:sz w:val="20"/>
                <w:szCs w:val="20"/>
              </w:rPr>
              <w:t>9(c)</w:t>
            </w:r>
          </w:p>
        </w:tc>
        <w:tc>
          <w:tcPr>
            <w:tcW w:w="1843" w:type="dxa"/>
            <w:vAlign w:val="bottom"/>
          </w:tcPr>
          <w:p w:rsidR="00B83890" w:rsidRPr="00633B89" w:rsidRDefault="00B83890" w:rsidP="006E6DC8">
            <w:pPr>
              <w:ind w:right="-30"/>
              <w:jc w:val="right"/>
              <w:rPr>
                <w:sz w:val="20"/>
                <w:szCs w:val="20"/>
              </w:rPr>
            </w:pPr>
            <w:r w:rsidRPr="00633B89">
              <w:rPr>
                <w:sz w:val="20"/>
                <w:szCs w:val="20"/>
              </w:rPr>
              <w:t>1,929</w:t>
            </w:r>
          </w:p>
        </w:tc>
        <w:tc>
          <w:tcPr>
            <w:tcW w:w="1417" w:type="dxa"/>
            <w:gridSpan w:val="2"/>
            <w:vAlign w:val="center"/>
          </w:tcPr>
          <w:p w:rsidR="00B83890" w:rsidRPr="00633B89" w:rsidRDefault="00B83890" w:rsidP="00751664">
            <w:pPr>
              <w:ind w:right="-30"/>
              <w:jc w:val="right"/>
              <w:rPr>
                <w:sz w:val="20"/>
                <w:szCs w:val="20"/>
              </w:rPr>
            </w:pPr>
            <w:r w:rsidRPr="00633B89">
              <w:rPr>
                <w:sz w:val="20"/>
                <w:szCs w:val="20"/>
              </w:rPr>
              <w:t>3,607</w:t>
            </w:r>
          </w:p>
        </w:tc>
      </w:tr>
      <w:tr w:rsidR="00B83890" w:rsidRPr="00633B89" w:rsidTr="00D74A18">
        <w:tblPrEx>
          <w:tblCellMar>
            <w:left w:w="108" w:type="dxa"/>
            <w:right w:w="108" w:type="dxa"/>
          </w:tblCellMar>
        </w:tblPrEx>
        <w:trPr>
          <w:gridAfter w:val="1"/>
          <w:wAfter w:w="78" w:type="dxa"/>
          <w:trHeight w:val="255"/>
        </w:trPr>
        <w:tc>
          <w:tcPr>
            <w:tcW w:w="4850" w:type="dxa"/>
            <w:gridSpan w:val="2"/>
            <w:tcBorders>
              <w:bottom w:val="single" w:sz="6" w:space="0" w:color="000000"/>
            </w:tcBorders>
          </w:tcPr>
          <w:p w:rsidR="00B83890" w:rsidRPr="00633B89" w:rsidRDefault="00B83890" w:rsidP="006E6DC8">
            <w:pPr>
              <w:ind w:hanging="78"/>
              <w:rPr>
                <w:color w:val="000000"/>
                <w:sz w:val="20"/>
                <w:szCs w:val="20"/>
              </w:rPr>
            </w:pPr>
            <w:r w:rsidRPr="00633B89">
              <w:rPr>
                <w:color w:val="000000"/>
                <w:sz w:val="20"/>
                <w:szCs w:val="20"/>
              </w:rPr>
              <w:t>Collections</w:t>
            </w:r>
          </w:p>
        </w:tc>
        <w:tc>
          <w:tcPr>
            <w:tcW w:w="1134" w:type="dxa"/>
            <w:tcBorders>
              <w:bottom w:val="single" w:sz="6" w:space="0" w:color="000000"/>
            </w:tcBorders>
          </w:tcPr>
          <w:p w:rsidR="00B83890" w:rsidRPr="00633B89" w:rsidRDefault="00B83890" w:rsidP="006E6DC8">
            <w:pPr>
              <w:ind w:right="-93"/>
              <w:jc w:val="center"/>
              <w:rPr>
                <w:color w:val="000000"/>
                <w:sz w:val="20"/>
                <w:szCs w:val="20"/>
              </w:rPr>
            </w:pPr>
            <w:r w:rsidRPr="00633B89">
              <w:rPr>
                <w:color w:val="000000"/>
                <w:sz w:val="20"/>
                <w:szCs w:val="20"/>
              </w:rPr>
              <w:t>9(a)</w:t>
            </w:r>
          </w:p>
        </w:tc>
        <w:tc>
          <w:tcPr>
            <w:tcW w:w="1843" w:type="dxa"/>
            <w:tcBorders>
              <w:bottom w:val="single" w:sz="6" w:space="0" w:color="000000"/>
            </w:tcBorders>
            <w:vAlign w:val="center"/>
          </w:tcPr>
          <w:p w:rsidR="00B83890" w:rsidRPr="00633B89" w:rsidRDefault="00B83890" w:rsidP="00751664">
            <w:pPr>
              <w:ind w:right="-108" w:firstLine="601"/>
              <w:jc w:val="right"/>
              <w:rPr>
                <w:color w:val="000000"/>
                <w:sz w:val="20"/>
                <w:szCs w:val="20"/>
              </w:rPr>
            </w:pPr>
            <w:r w:rsidRPr="00633B89">
              <w:rPr>
                <w:color w:val="000000"/>
                <w:sz w:val="20"/>
                <w:szCs w:val="20"/>
              </w:rPr>
              <w:t xml:space="preserve"> 501,327</w:t>
            </w:r>
          </w:p>
        </w:tc>
        <w:tc>
          <w:tcPr>
            <w:tcW w:w="1417" w:type="dxa"/>
            <w:tcBorders>
              <w:bottom w:val="single" w:sz="6" w:space="0" w:color="000000"/>
            </w:tcBorders>
            <w:vAlign w:val="center"/>
          </w:tcPr>
          <w:p w:rsidR="00B83890" w:rsidRPr="00633B89" w:rsidRDefault="00B83890" w:rsidP="00751664">
            <w:pPr>
              <w:ind w:right="-108"/>
              <w:jc w:val="right"/>
              <w:rPr>
                <w:color w:val="000000"/>
                <w:sz w:val="20"/>
                <w:szCs w:val="20"/>
              </w:rPr>
            </w:pPr>
            <w:r w:rsidRPr="00633B89">
              <w:rPr>
                <w:color w:val="000000"/>
                <w:sz w:val="20"/>
                <w:szCs w:val="20"/>
              </w:rPr>
              <w:t xml:space="preserve"> 500,709</w:t>
            </w:r>
          </w:p>
        </w:tc>
      </w:tr>
      <w:tr w:rsidR="00B83890" w:rsidRPr="00633B89" w:rsidTr="00D74A18">
        <w:tblPrEx>
          <w:tblCellMar>
            <w:left w:w="108" w:type="dxa"/>
            <w:right w:w="108" w:type="dxa"/>
          </w:tblCellMar>
        </w:tblPrEx>
        <w:trPr>
          <w:gridAfter w:val="1"/>
          <w:wAfter w:w="78" w:type="dxa"/>
          <w:trHeight w:val="206"/>
        </w:trPr>
        <w:tc>
          <w:tcPr>
            <w:tcW w:w="4850" w:type="dxa"/>
            <w:gridSpan w:val="2"/>
            <w:tcBorders>
              <w:bottom w:val="single" w:sz="4" w:space="0" w:color="auto"/>
            </w:tcBorders>
            <w:vAlign w:val="center"/>
          </w:tcPr>
          <w:p w:rsidR="00B83890" w:rsidRPr="00633B89" w:rsidRDefault="00B83890" w:rsidP="006E6DC8">
            <w:pPr>
              <w:pStyle w:val="Heading2"/>
              <w:ind w:left="-78"/>
              <w:rPr>
                <w:i/>
                <w:sz w:val="20"/>
                <w:szCs w:val="20"/>
              </w:rPr>
            </w:pPr>
            <w:r w:rsidRPr="00633B89">
              <w:rPr>
                <w:sz w:val="20"/>
                <w:szCs w:val="20"/>
              </w:rPr>
              <w:t>Total Non-Financial Assets</w:t>
            </w:r>
          </w:p>
        </w:tc>
        <w:tc>
          <w:tcPr>
            <w:tcW w:w="1134" w:type="dxa"/>
            <w:tcBorders>
              <w:bottom w:val="single" w:sz="4" w:space="0" w:color="auto"/>
            </w:tcBorders>
            <w:vAlign w:val="center"/>
          </w:tcPr>
          <w:p w:rsidR="00B83890" w:rsidRPr="00633B89" w:rsidRDefault="00B83890" w:rsidP="006E6DC8">
            <w:pPr>
              <w:rPr>
                <w:b/>
                <w:i/>
                <w:color w:val="000000"/>
                <w:sz w:val="20"/>
                <w:szCs w:val="20"/>
              </w:rPr>
            </w:pPr>
          </w:p>
        </w:tc>
        <w:tc>
          <w:tcPr>
            <w:tcW w:w="1843" w:type="dxa"/>
            <w:tcBorders>
              <w:bottom w:val="single" w:sz="4" w:space="0" w:color="auto"/>
            </w:tcBorders>
            <w:vAlign w:val="center"/>
          </w:tcPr>
          <w:p w:rsidR="00B83890" w:rsidRPr="00633B89" w:rsidRDefault="00B83890" w:rsidP="006E6DC8">
            <w:pPr>
              <w:ind w:right="-108"/>
              <w:jc w:val="right"/>
              <w:rPr>
                <w:b/>
                <w:color w:val="000000"/>
                <w:sz w:val="20"/>
                <w:szCs w:val="20"/>
              </w:rPr>
            </w:pPr>
            <w:r w:rsidRPr="00633B89">
              <w:rPr>
                <w:b/>
                <w:color w:val="000000"/>
                <w:sz w:val="20"/>
                <w:szCs w:val="20"/>
              </w:rPr>
              <w:t>1,017,270</w:t>
            </w:r>
          </w:p>
        </w:tc>
        <w:tc>
          <w:tcPr>
            <w:tcW w:w="1417" w:type="dxa"/>
            <w:tcBorders>
              <w:bottom w:val="single" w:sz="4" w:space="0" w:color="auto"/>
            </w:tcBorders>
            <w:vAlign w:val="center"/>
          </w:tcPr>
          <w:p w:rsidR="00B83890" w:rsidRPr="00633B89" w:rsidRDefault="00B83890" w:rsidP="00751664">
            <w:pPr>
              <w:ind w:right="-108"/>
              <w:jc w:val="right"/>
              <w:rPr>
                <w:b/>
                <w:color w:val="000000"/>
                <w:sz w:val="20"/>
                <w:szCs w:val="20"/>
              </w:rPr>
            </w:pPr>
            <w:r w:rsidRPr="00633B89">
              <w:rPr>
                <w:b/>
                <w:color w:val="000000"/>
                <w:sz w:val="20"/>
                <w:szCs w:val="20"/>
              </w:rPr>
              <w:t xml:space="preserve"> 1,033,466</w:t>
            </w:r>
          </w:p>
        </w:tc>
      </w:tr>
      <w:tr w:rsidR="00B83890" w:rsidRPr="00633B89" w:rsidTr="00D74A18">
        <w:tblPrEx>
          <w:tblCellMar>
            <w:left w:w="108" w:type="dxa"/>
            <w:right w:w="108" w:type="dxa"/>
          </w:tblCellMar>
        </w:tblPrEx>
        <w:trPr>
          <w:gridAfter w:val="1"/>
          <w:wAfter w:w="78" w:type="dxa"/>
          <w:trHeight w:hRule="exact" w:val="177"/>
        </w:trPr>
        <w:tc>
          <w:tcPr>
            <w:tcW w:w="4850" w:type="dxa"/>
            <w:gridSpan w:val="2"/>
            <w:tcBorders>
              <w:top w:val="single" w:sz="4" w:space="0" w:color="auto"/>
            </w:tcBorders>
          </w:tcPr>
          <w:p w:rsidR="00B83890" w:rsidRPr="00633B89" w:rsidRDefault="00B83890" w:rsidP="006E6DC8">
            <w:pPr>
              <w:rPr>
                <w:b/>
                <w:color w:val="000000"/>
                <w:sz w:val="20"/>
                <w:szCs w:val="20"/>
              </w:rPr>
            </w:pPr>
          </w:p>
        </w:tc>
        <w:tc>
          <w:tcPr>
            <w:tcW w:w="1134" w:type="dxa"/>
            <w:tcBorders>
              <w:top w:val="single" w:sz="4" w:space="0" w:color="auto"/>
            </w:tcBorders>
          </w:tcPr>
          <w:p w:rsidR="00B83890" w:rsidRPr="00633B89" w:rsidRDefault="00B83890" w:rsidP="006E6DC8">
            <w:pPr>
              <w:jc w:val="center"/>
              <w:rPr>
                <w:b/>
                <w:i/>
                <w:color w:val="000000"/>
                <w:sz w:val="20"/>
                <w:szCs w:val="20"/>
              </w:rPr>
            </w:pPr>
          </w:p>
        </w:tc>
        <w:tc>
          <w:tcPr>
            <w:tcW w:w="1843" w:type="dxa"/>
            <w:tcBorders>
              <w:top w:val="single" w:sz="4" w:space="0" w:color="auto"/>
            </w:tcBorders>
          </w:tcPr>
          <w:p w:rsidR="00B83890" w:rsidRPr="00633B89" w:rsidRDefault="00B83890" w:rsidP="006E6DC8">
            <w:pPr>
              <w:jc w:val="right"/>
              <w:rPr>
                <w:color w:val="000000"/>
                <w:sz w:val="20"/>
                <w:szCs w:val="20"/>
              </w:rPr>
            </w:pPr>
          </w:p>
        </w:tc>
        <w:tc>
          <w:tcPr>
            <w:tcW w:w="1417" w:type="dxa"/>
            <w:tcBorders>
              <w:top w:val="single" w:sz="4" w:space="0" w:color="auto"/>
            </w:tcBorders>
            <w:vAlign w:val="center"/>
          </w:tcPr>
          <w:p w:rsidR="00B83890" w:rsidRPr="00633B89" w:rsidRDefault="00B83890" w:rsidP="00751664">
            <w:pPr>
              <w:jc w:val="right"/>
              <w:rPr>
                <w:color w:val="000000"/>
                <w:sz w:val="20"/>
                <w:szCs w:val="20"/>
              </w:rPr>
            </w:pPr>
          </w:p>
        </w:tc>
      </w:tr>
      <w:tr w:rsidR="00B83890" w:rsidRPr="00633B89" w:rsidTr="00D74A18">
        <w:tblPrEx>
          <w:tblCellMar>
            <w:left w:w="108" w:type="dxa"/>
            <w:right w:w="108" w:type="dxa"/>
          </w:tblCellMar>
        </w:tblPrEx>
        <w:trPr>
          <w:gridAfter w:val="1"/>
          <w:wAfter w:w="78" w:type="dxa"/>
          <w:trHeight w:val="343"/>
        </w:trPr>
        <w:tc>
          <w:tcPr>
            <w:tcW w:w="4850" w:type="dxa"/>
            <w:gridSpan w:val="2"/>
            <w:tcBorders>
              <w:top w:val="single" w:sz="6" w:space="0" w:color="000000"/>
              <w:bottom w:val="single" w:sz="4" w:space="0" w:color="auto"/>
            </w:tcBorders>
            <w:vAlign w:val="center"/>
          </w:tcPr>
          <w:p w:rsidR="00B83890" w:rsidRPr="00633B89" w:rsidRDefault="00B83890" w:rsidP="006E6DC8">
            <w:pPr>
              <w:pStyle w:val="Heading2"/>
              <w:ind w:hanging="78"/>
              <w:rPr>
                <w:i/>
                <w:sz w:val="20"/>
                <w:szCs w:val="20"/>
              </w:rPr>
            </w:pPr>
            <w:r w:rsidRPr="00633B89">
              <w:rPr>
                <w:sz w:val="20"/>
                <w:szCs w:val="20"/>
              </w:rPr>
              <w:t>Total Assets</w:t>
            </w:r>
          </w:p>
        </w:tc>
        <w:tc>
          <w:tcPr>
            <w:tcW w:w="1134" w:type="dxa"/>
            <w:tcBorders>
              <w:top w:val="single" w:sz="6" w:space="0" w:color="000000"/>
              <w:bottom w:val="single" w:sz="4" w:space="0" w:color="auto"/>
            </w:tcBorders>
            <w:vAlign w:val="center"/>
          </w:tcPr>
          <w:p w:rsidR="00B83890" w:rsidRPr="00633B89" w:rsidRDefault="00B83890" w:rsidP="006E6DC8">
            <w:pPr>
              <w:rPr>
                <w:b/>
                <w:sz w:val="20"/>
                <w:szCs w:val="20"/>
              </w:rPr>
            </w:pPr>
          </w:p>
        </w:tc>
        <w:tc>
          <w:tcPr>
            <w:tcW w:w="1843" w:type="dxa"/>
            <w:tcBorders>
              <w:top w:val="single" w:sz="6" w:space="0" w:color="000000"/>
              <w:bottom w:val="single" w:sz="4" w:space="0" w:color="auto"/>
            </w:tcBorders>
            <w:vAlign w:val="center"/>
          </w:tcPr>
          <w:p w:rsidR="00B83890" w:rsidRPr="00633B89" w:rsidRDefault="00B83890" w:rsidP="006E6DC8">
            <w:pPr>
              <w:ind w:right="-108"/>
              <w:jc w:val="right"/>
              <w:rPr>
                <w:b/>
                <w:color w:val="000000"/>
                <w:sz w:val="20"/>
                <w:szCs w:val="20"/>
              </w:rPr>
            </w:pPr>
            <w:r w:rsidRPr="00633B89">
              <w:rPr>
                <w:b/>
                <w:color w:val="000000"/>
                <w:sz w:val="20"/>
                <w:szCs w:val="20"/>
              </w:rPr>
              <w:t>1,043,561</w:t>
            </w:r>
          </w:p>
        </w:tc>
        <w:tc>
          <w:tcPr>
            <w:tcW w:w="1417" w:type="dxa"/>
            <w:tcBorders>
              <w:top w:val="single" w:sz="6" w:space="0" w:color="000000"/>
              <w:bottom w:val="single" w:sz="4" w:space="0" w:color="auto"/>
            </w:tcBorders>
            <w:vAlign w:val="center"/>
          </w:tcPr>
          <w:p w:rsidR="00B83890" w:rsidRPr="00633B89" w:rsidRDefault="00B83890" w:rsidP="00751664">
            <w:pPr>
              <w:ind w:right="-108"/>
              <w:jc w:val="right"/>
              <w:rPr>
                <w:b/>
                <w:color w:val="000000"/>
                <w:sz w:val="20"/>
                <w:szCs w:val="20"/>
              </w:rPr>
            </w:pPr>
            <w:r w:rsidRPr="00633B89">
              <w:rPr>
                <w:b/>
                <w:color w:val="000000"/>
                <w:sz w:val="20"/>
                <w:szCs w:val="20"/>
              </w:rPr>
              <w:t>1,062,100</w:t>
            </w:r>
          </w:p>
        </w:tc>
      </w:tr>
      <w:tr w:rsidR="00B83890" w:rsidRPr="00633B89" w:rsidTr="00D74A18">
        <w:tblPrEx>
          <w:tblCellMar>
            <w:left w:w="108" w:type="dxa"/>
            <w:right w:w="108" w:type="dxa"/>
          </w:tblCellMar>
        </w:tblPrEx>
        <w:trPr>
          <w:gridAfter w:val="1"/>
          <w:wAfter w:w="78" w:type="dxa"/>
          <w:trHeight w:hRule="exact" w:val="255"/>
        </w:trPr>
        <w:tc>
          <w:tcPr>
            <w:tcW w:w="4850" w:type="dxa"/>
            <w:gridSpan w:val="2"/>
            <w:tcBorders>
              <w:top w:val="single" w:sz="4" w:space="0" w:color="auto"/>
            </w:tcBorders>
          </w:tcPr>
          <w:p w:rsidR="00B83890" w:rsidRPr="00633B89" w:rsidRDefault="00B83890" w:rsidP="006E6DC8">
            <w:pPr>
              <w:rPr>
                <w:b/>
                <w:i/>
                <w:color w:val="000000"/>
                <w:sz w:val="20"/>
                <w:szCs w:val="20"/>
              </w:rPr>
            </w:pPr>
          </w:p>
        </w:tc>
        <w:tc>
          <w:tcPr>
            <w:tcW w:w="1134" w:type="dxa"/>
            <w:tcBorders>
              <w:top w:val="single" w:sz="4" w:space="0" w:color="auto"/>
            </w:tcBorders>
          </w:tcPr>
          <w:p w:rsidR="00B83890" w:rsidRPr="00633B89" w:rsidRDefault="00B83890" w:rsidP="006E6DC8">
            <w:pPr>
              <w:jc w:val="center"/>
              <w:rPr>
                <w:b/>
                <w:i/>
                <w:color w:val="000000"/>
                <w:sz w:val="20"/>
                <w:szCs w:val="20"/>
              </w:rPr>
            </w:pPr>
          </w:p>
        </w:tc>
        <w:tc>
          <w:tcPr>
            <w:tcW w:w="1843" w:type="dxa"/>
            <w:tcBorders>
              <w:top w:val="single" w:sz="4" w:space="0" w:color="auto"/>
            </w:tcBorders>
          </w:tcPr>
          <w:p w:rsidR="00B83890" w:rsidRPr="00633B89" w:rsidRDefault="00B83890" w:rsidP="006E6DC8">
            <w:pPr>
              <w:jc w:val="right"/>
              <w:rPr>
                <w:color w:val="000000"/>
                <w:sz w:val="20"/>
                <w:szCs w:val="20"/>
              </w:rPr>
            </w:pPr>
          </w:p>
        </w:tc>
        <w:tc>
          <w:tcPr>
            <w:tcW w:w="1417" w:type="dxa"/>
            <w:tcBorders>
              <w:top w:val="single" w:sz="4" w:space="0" w:color="auto"/>
            </w:tcBorders>
          </w:tcPr>
          <w:p w:rsidR="00B83890" w:rsidRPr="00633B89" w:rsidRDefault="00B83890" w:rsidP="006E6DC8">
            <w:pPr>
              <w:jc w:val="right"/>
              <w:rPr>
                <w:color w:val="000000"/>
                <w:sz w:val="20"/>
                <w:szCs w:val="20"/>
              </w:rPr>
            </w:pPr>
          </w:p>
        </w:tc>
      </w:tr>
      <w:tr w:rsidR="00B83890" w:rsidRPr="00633B89" w:rsidTr="00D74A18">
        <w:trPr>
          <w:gridBefore w:val="1"/>
          <w:trHeight w:hRule="exact" w:val="255"/>
        </w:trPr>
        <w:tc>
          <w:tcPr>
            <w:tcW w:w="4850" w:type="dxa"/>
            <w:vAlign w:val="center"/>
          </w:tcPr>
          <w:p w:rsidR="00B83890" w:rsidRPr="00633B89" w:rsidRDefault="00B83890" w:rsidP="006E6DC8">
            <w:pPr>
              <w:pStyle w:val="Heading3"/>
              <w:rPr>
                <w:i/>
                <w:sz w:val="20"/>
                <w:szCs w:val="20"/>
              </w:rPr>
            </w:pPr>
            <w:r w:rsidRPr="00633B89">
              <w:rPr>
                <w:sz w:val="20"/>
                <w:szCs w:val="20"/>
              </w:rPr>
              <w:t>Liabilities</w:t>
            </w:r>
          </w:p>
        </w:tc>
        <w:tc>
          <w:tcPr>
            <w:tcW w:w="1134" w:type="dxa"/>
            <w:vAlign w:val="center"/>
          </w:tcPr>
          <w:p w:rsidR="00B83890" w:rsidRPr="00633B89" w:rsidRDefault="00B83890" w:rsidP="006E6DC8">
            <w:pPr>
              <w:jc w:val="center"/>
              <w:rPr>
                <w:b/>
                <w:i/>
                <w:color w:val="000000"/>
                <w:sz w:val="20"/>
                <w:szCs w:val="20"/>
              </w:rPr>
            </w:pPr>
          </w:p>
        </w:tc>
        <w:tc>
          <w:tcPr>
            <w:tcW w:w="1843" w:type="dxa"/>
            <w:vAlign w:val="center"/>
          </w:tcPr>
          <w:p w:rsidR="00B83890" w:rsidRPr="00633B89" w:rsidRDefault="00B83890" w:rsidP="006E6DC8">
            <w:pPr>
              <w:jc w:val="right"/>
              <w:rPr>
                <w:color w:val="000000"/>
                <w:sz w:val="20"/>
                <w:szCs w:val="20"/>
              </w:rPr>
            </w:pPr>
          </w:p>
        </w:tc>
        <w:tc>
          <w:tcPr>
            <w:tcW w:w="1417" w:type="dxa"/>
            <w:gridSpan w:val="2"/>
            <w:vAlign w:val="center"/>
          </w:tcPr>
          <w:p w:rsidR="00B83890" w:rsidRPr="00633B89" w:rsidRDefault="00B83890" w:rsidP="006E6DC8">
            <w:pPr>
              <w:jc w:val="right"/>
              <w:rPr>
                <w:color w:val="000000"/>
                <w:sz w:val="20"/>
                <w:szCs w:val="20"/>
              </w:rPr>
            </w:pPr>
          </w:p>
        </w:tc>
      </w:tr>
      <w:tr w:rsidR="00B83890" w:rsidRPr="00633B89" w:rsidTr="00D74A18">
        <w:trPr>
          <w:gridBefore w:val="1"/>
          <w:trHeight w:hRule="exact" w:val="255"/>
        </w:trPr>
        <w:tc>
          <w:tcPr>
            <w:tcW w:w="4850" w:type="dxa"/>
            <w:vAlign w:val="center"/>
          </w:tcPr>
          <w:p w:rsidR="00B83890" w:rsidRPr="00633B89" w:rsidRDefault="00B83890" w:rsidP="006E6DC8">
            <w:pPr>
              <w:pStyle w:val="indent1"/>
              <w:ind w:left="0"/>
              <w:rPr>
                <w:sz w:val="20"/>
              </w:rPr>
            </w:pPr>
            <w:r w:rsidRPr="00633B89">
              <w:rPr>
                <w:sz w:val="20"/>
              </w:rPr>
              <w:t>Payables</w:t>
            </w:r>
          </w:p>
        </w:tc>
        <w:tc>
          <w:tcPr>
            <w:tcW w:w="1134" w:type="dxa"/>
            <w:vAlign w:val="center"/>
          </w:tcPr>
          <w:p w:rsidR="00B83890" w:rsidRPr="00633B89" w:rsidRDefault="00B83890" w:rsidP="006E6DC8">
            <w:pPr>
              <w:jc w:val="center"/>
              <w:rPr>
                <w:color w:val="000000"/>
                <w:sz w:val="20"/>
                <w:szCs w:val="20"/>
              </w:rPr>
            </w:pPr>
            <w:r w:rsidRPr="00633B89">
              <w:rPr>
                <w:color w:val="000000"/>
                <w:sz w:val="20"/>
                <w:szCs w:val="20"/>
              </w:rPr>
              <w:t>10</w:t>
            </w:r>
          </w:p>
        </w:tc>
        <w:tc>
          <w:tcPr>
            <w:tcW w:w="1843" w:type="dxa"/>
            <w:vAlign w:val="center"/>
          </w:tcPr>
          <w:p w:rsidR="00B83890" w:rsidRPr="00633B89" w:rsidRDefault="00B83890" w:rsidP="006E6DC8">
            <w:pPr>
              <w:jc w:val="right"/>
              <w:rPr>
                <w:color w:val="000000"/>
                <w:sz w:val="20"/>
                <w:szCs w:val="20"/>
              </w:rPr>
            </w:pPr>
            <w:r w:rsidRPr="00633B89">
              <w:rPr>
                <w:color w:val="000000"/>
                <w:sz w:val="20"/>
                <w:szCs w:val="20"/>
              </w:rPr>
              <w:t>5,182</w:t>
            </w:r>
          </w:p>
        </w:tc>
        <w:tc>
          <w:tcPr>
            <w:tcW w:w="1417" w:type="dxa"/>
            <w:gridSpan w:val="2"/>
            <w:vAlign w:val="center"/>
          </w:tcPr>
          <w:p w:rsidR="00B83890" w:rsidRPr="00633B89" w:rsidRDefault="00B83890" w:rsidP="006E6DC8">
            <w:pPr>
              <w:jc w:val="right"/>
              <w:rPr>
                <w:color w:val="000000"/>
                <w:sz w:val="20"/>
                <w:szCs w:val="20"/>
              </w:rPr>
            </w:pPr>
            <w:r w:rsidRPr="00633B89">
              <w:rPr>
                <w:color w:val="000000"/>
                <w:sz w:val="20"/>
                <w:szCs w:val="20"/>
              </w:rPr>
              <w:t>6,111</w:t>
            </w:r>
          </w:p>
        </w:tc>
      </w:tr>
      <w:tr w:rsidR="00B83890" w:rsidRPr="00633B89" w:rsidTr="00D74A18">
        <w:trPr>
          <w:gridBefore w:val="1"/>
          <w:trHeight w:hRule="exact" w:val="255"/>
        </w:trPr>
        <w:tc>
          <w:tcPr>
            <w:tcW w:w="4850" w:type="dxa"/>
            <w:vAlign w:val="center"/>
          </w:tcPr>
          <w:p w:rsidR="00B83890" w:rsidRPr="00633B89" w:rsidRDefault="00B83890" w:rsidP="006E6DC8">
            <w:pPr>
              <w:pStyle w:val="indent1"/>
              <w:ind w:left="0"/>
              <w:rPr>
                <w:sz w:val="20"/>
              </w:rPr>
            </w:pPr>
            <w:r w:rsidRPr="00633B89">
              <w:rPr>
                <w:sz w:val="20"/>
              </w:rPr>
              <w:t>Interest Bearing Liabilities</w:t>
            </w:r>
          </w:p>
        </w:tc>
        <w:tc>
          <w:tcPr>
            <w:tcW w:w="1134" w:type="dxa"/>
            <w:vAlign w:val="center"/>
          </w:tcPr>
          <w:p w:rsidR="00B83890" w:rsidRPr="00633B89" w:rsidRDefault="00B83890" w:rsidP="006E6DC8">
            <w:pPr>
              <w:jc w:val="center"/>
              <w:rPr>
                <w:color w:val="000000"/>
                <w:sz w:val="20"/>
                <w:szCs w:val="20"/>
              </w:rPr>
            </w:pPr>
            <w:r w:rsidRPr="00633B89">
              <w:rPr>
                <w:color w:val="000000"/>
                <w:sz w:val="20"/>
                <w:szCs w:val="20"/>
              </w:rPr>
              <w:t>11</w:t>
            </w:r>
          </w:p>
        </w:tc>
        <w:tc>
          <w:tcPr>
            <w:tcW w:w="1843" w:type="dxa"/>
            <w:vAlign w:val="center"/>
          </w:tcPr>
          <w:p w:rsidR="00B83890" w:rsidRPr="00633B89" w:rsidRDefault="00B83890" w:rsidP="006E6DC8">
            <w:pPr>
              <w:jc w:val="right"/>
              <w:rPr>
                <w:color w:val="000000"/>
                <w:sz w:val="20"/>
                <w:szCs w:val="20"/>
              </w:rPr>
            </w:pPr>
            <w:r w:rsidRPr="00633B89">
              <w:rPr>
                <w:color w:val="000000"/>
                <w:sz w:val="20"/>
                <w:szCs w:val="20"/>
              </w:rPr>
              <w:t>289</w:t>
            </w:r>
          </w:p>
        </w:tc>
        <w:tc>
          <w:tcPr>
            <w:tcW w:w="1417" w:type="dxa"/>
            <w:gridSpan w:val="2"/>
            <w:vAlign w:val="center"/>
          </w:tcPr>
          <w:p w:rsidR="00B83890" w:rsidRPr="00633B89" w:rsidRDefault="00B83890" w:rsidP="006E6DC8">
            <w:pPr>
              <w:jc w:val="right"/>
              <w:rPr>
                <w:color w:val="000000"/>
                <w:sz w:val="20"/>
                <w:szCs w:val="20"/>
              </w:rPr>
            </w:pPr>
            <w:r w:rsidRPr="00633B89">
              <w:rPr>
                <w:color w:val="000000"/>
                <w:sz w:val="20"/>
                <w:szCs w:val="20"/>
              </w:rPr>
              <w:t>332</w:t>
            </w:r>
          </w:p>
        </w:tc>
      </w:tr>
      <w:tr w:rsidR="00B83890" w:rsidRPr="00633B89" w:rsidTr="00D74A18">
        <w:trPr>
          <w:gridBefore w:val="1"/>
          <w:trHeight w:val="255"/>
        </w:trPr>
        <w:tc>
          <w:tcPr>
            <w:tcW w:w="4850" w:type="dxa"/>
            <w:vAlign w:val="center"/>
          </w:tcPr>
          <w:p w:rsidR="00B83890" w:rsidRPr="00633B89" w:rsidRDefault="00B83890" w:rsidP="006E6DC8">
            <w:pPr>
              <w:rPr>
                <w:color w:val="000000"/>
                <w:sz w:val="20"/>
                <w:szCs w:val="20"/>
              </w:rPr>
            </w:pPr>
            <w:r w:rsidRPr="00633B89">
              <w:rPr>
                <w:color w:val="000000"/>
                <w:sz w:val="20"/>
                <w:szCs w:val="20"/>
              </w:rPr>
              <w:t>Provisions</w:t>
            </w:r>
          </w:p>
        </w:tc>
        <w:tc>
          <w:tcPr>
            <w:tcW w:w="1134" w:type="dxa"/>
            <w:vAlign w:val="center"/>
          </w:tcPr>
          <w:p w:rsidR="00B83890" w:rsidRPr="00633B89" w:rsidRDefault="00B83890" w:rsidP="006E6DC8">
            <w:pPr>
              <w:jc w:val="center"/>
              <w:rPr>
                <w:color w:val="000000"/>
                <w:sz w:val="20"/>
                <w:szCs w:val="20"/>
              </w:rPr>
            </w:pPr>
            <w:r w:rsidRPr="00633B89">
              <w:rPr>
                <w:color w:val="000000"/>
                <w:sz w:val="20"/>
                <w:szCs w:val="20"/>
              </w:rPr>
              <w:t>12</w:t>
            </w:r>
          </w:p>
        </w:tc>
        <w:tc>
          <w:tcPr>
            <w:tcW w:w="1843" w:type="dxa"/>
            <w:vAlign w:val="center"/>
          </w:tcPr>
          <w:p w:rsidR="00B83890" w:rsidRPr="00633B89" w:rsidRDefault="00B83890" w:rsidP="006E6DC8">
            <w:pPr>
              <w:jc w:val="right"/>
              <w:rPr>
                <w:color w:val="000000"/>
                <w:sz w:val="20"/>
                <w:szCs w:val="20"/>
              </w:rPr>
            </w:pPr>
            <w:r w:rsidRPr="00633B89">
              <w:rPr>
                <w:color w:val="000000"/>
                <w:sz w:val="20"/>
                <w:szCs w:val="20"/>
              </w:rPr>
              <w:t>9,276</w:t>
            </w:r>
          </w:p>
        </w:tc>
        <w:tc>
          <w:tcPr>
            <w:tcW w:w="1417" w:type="dxa"/>
            <w:gridSpan w:val="2"/>
            <w:vAlign w:val="center"/>
          </w:tcPr>
          <w:p w:rsidR="00B83890" w:rsidRPr="00633B89" w:rsidRDefault="00B83890" w:rsidP="006E6DC8">
            <w:pPr>
              <w:jc w:val="right"/>
              <w:rPr>
                <w:color w:val="000000"/>
                <w:sz w:val="20"/>
                <w:szCs w:val="20"/>
              </w:rPr>
            </w:pPr>
            <w:r w:rsidRPr="00633B89">
              <w:rPr>
                <w:color w:val="000000"/>
                <w:sz w:val="20"/>
                <w:szCs w:val="20"/>
              </w:rPr>
              <w:t>8,572</w:t>
            </w:r>
          </w:p>
        </w:tc>
      </w:tr>
      <w:tr w:rsidR="00B83890" w:rsidRPr="00633B89" w:rsidTr="00D74A18">
        <w:trPr>
          <w:gridBefore w:val="1"/>
          <w:trHeight w:val="210"/>
        </w:trPr>
        <w:tc>
          <w:tcPr>
            <w:tcW w:w="4850" w:type="dxa"/>
            <w:tcBorders>
              <w:top w:val="single" w:sz="4" w:space="0" w:color="auto"/>
              <w:bottom w:val="single" w:sz="4" w:space="0" w:color="auto"/>
            </w:tcBorders>
            <w:vAlign w:val="center"/>
          </w:tcPr>
          <w:p w:rsidR="00B83890" w:rsidRPr="00633B89" w:rsidRDefault="00B83890" w:rsidP="006E6DC8">
            <w:pPr>
              <w:pStyle w:val="Heading2"/>
              <w:rPr>
                <w:i/>
                <w:sz w:val="20"/>
                <w:szCs w:val="20"/>
              </w:rPr>
            </w:pPr>
            <w:r w:rsidRPr="00633B89">
              <w:rPr>
                <w:sz w:val="20"/>
                <w:szCs w:val="20"/>
              </w:rPr>
              <w:t>Total Liabilities</w:t>
            </w:r>
          </w:p>
        </w:tc>
        <w:tc>
          <w:tcPr>
            <w:tcW w:w="1134" w:type="dxa"/>
            <w:tcBorders>
              <w:top w:val="single" w:sz="4" w:space="0" w:color="auto"/>
              <w:bottom w:val="single" w:sz="4" w:space="0" w:color="auto"/>
            </w:tcBorders>
            <w:vAlign w:val="center"/>
          </w:tcPr>
          <w:p w:rsidR="00B83890" w:rsidRPr="00633B89" w:rsidRDefault="00B83890" w:rsidP="006E6DC8">
            <w:pPr>
              <w:jc w:val="center"/>
              <w:rPr>
                <w:b/>
                <w:sz w:val="20"/>
                <w:szCs w:val="20"/>
              </w:rPr>
            </w:pPr>
          </w:p>
        </w:tc>
        <w:tc>
          <w:tcPr>
            <w:tcW w:w="1843" w:type="dxa"/>
            <w:tcBorders>
              <w:top w:val="single" w:sz="4" w:space="0" w:color="auto"/>
              <w:bottom w:val="single" w:sz="4" w:space="0" w:color="auto"/>
            </w:tcBorders>
            <w:vAlign w:val="center"/>
          </w:tcPr>
          <w:p w:rsidR="00B83890" w:rsidRPr="00633B89" w:rsidRDefault="00B83890" w:rsidP="006E6DC8">
            <w:pPr>
              <w:jc w:val="right"/>
              <w:rPr>
                <w:b/>
                <w:sz w:val="20"/>
                <w:szCs w:val="20"/>
              </w:rPr>
            </w:pPr>
            <w:r w:rsidRPr="00633B89">
              <w:rPr>
                <w:b/>
                <w:sz w:val="20"/>
                <w:szCs w:val="20"/>
              </w:rPr>
              <w:t>14,747</w:t>
            </w:r>
          </w:p>
        </w:tc>
        <w:tc>
          <w:tcPr>
            <w:tcW w:w="1417" w:type="dxa"/>
            <w:gridSpan w:val="2"/>
            <w:tcBorders>
              <w:top w:val="single" w:sz="4" w:space="0" w:color="auto"/>
              <w:bottom w:val="single" w:sz="4" w:space="0" w:color="auto"/>
            </w:tcBorders>
            <w:vAlign w:val="center"/>
          </w:tcPr>
          <w:p w:rsidR="00B83890" w:rsidRPr="00633B89" w:rsidRDefault="00B83890" w:rsidP="006E6DC8">
            <w:pPr>
              <w:jc w:val="right"/>
              <w:rPr>
                <w:b/>
                <w:sz w:val="20"/>
                <w:szCs w:val="20"/>
              </w:rPr>
            </w:pPr>
            <w:r w:rsidRPr="00633B89">
              <w:rPr>
                <w:b/>
                <w:sz w:val="20"/>
                <w:szCs w:val="20"/>
              </w:rPr>
              <w:t>15,015</w:t>
            </w:r>
          </w:p>
        </w:tc>
      </w:tr>
      <w:tr w:rsidR="00B83890" w:rsidRPr="00633B89" w:rsidTr="00D74A18">
        <w:trPr>
          <w:gridBefore w:val="1"/>
          <w:trHeight w:val="95"/>
        </w:trPr>
        <w:tc>
          <w:tcPr>
            <w:tcW w:w="4850" w:type="dxa"/>
            <w:tcBorders>
              <w:top w:val="single" w:sz="4" w:space="0" w:color="auto"/>
              <w:bottom w:val="single" w:sz="4" w:space="0" w:color="auto"/>
            </w:tcBorders>
          </w:tcPr>
          <w:p w:rsidR="00B83890" w:rsidRPr="00633B89" w:rsidRDefault="00B83890" w:rsidP="006E6DC8">
            <w:pPr>
              <w:pStyle w:val="Heading2"/>
              <w:rPr>
                <w:b w:val="0"/>
                <w:i/>
                <w:sz w:val="20"/>
                <w:szCs w:val="20"/>
              </w:rPr>
            </w:pPr>
          </w:p>
        </w:tc>
        <w:tc>
          <w:tcPr>
            <w:tcW w:w="1134" w:type="dxa"/>
            <w:tcBorders>
              <w:top w:val="single" w:sz="4" w:space="0" w:color="auto"/>
              <w:bottom w:val="single" w:sz="4" w:space="0" w:color="auto"/>
            </w:tcBorders>
          </w:tcPr>
          <w:p w:rsidR="00B83890" w:rsidRPr="00633B89" w:rsidRDefault="00B83890" w:rsidP="006E6DC8">
            <w:pPr>
              <w:pStyle w:val="Heading2"/>
              <w:jc w:val="center"/>
              <w:rPr>
                <w:b w:val="0"/>
                <w:i/>
                <w:sz w:val="20"/>
                <w:szCs w:val="20"/>
              </w:rPr>
            </w:pPr>
          </w:p>
        </w:tc>
        <w:tc>
          <w:tcPr>
            <w:tcW w:w="1843" w:type="dxa"/>
            <w:tcBorders>
              <w:top w:val="single" w:sz="4" w:space="0" w:color="auto"/>
              <w:bottom w:val="single" w:sz="4" w:space="0" w:color="auto"/>
            </w:tcBorders>
          </w:tcPr>
          <w:p w:rsidR="00B83890" w:rsidRPr="00633B89" w:rsidRDefault="00B83890" w:rsidP="006E6DC8">
            <w:pPr>
              <w:pStyle w:val="Heading2"/>
              <w:jc w:val="right"/>
              <w:rPr>
                <w:b w:val="0"/>
                <w:i/>
                <w:sz w:val="20"/>
                <w:szCs w:val="20"/>
              </w:rPr>
            </w:pPr>
          </w:p>
        </w:tc>
        <w:tc>
          <w:tcPr>
            <w:tcW w:w="1417" w:type="dxa"/>
            <w:gridSpan w:val="2"/>
            <w:tcBorders>
              <w:top w:val="single" w:sz="4" w:space="0" w:color="auto"/>
              <w:bottom w:val="single" w:sz="4" w:space="0" w:color="auto"/>
            </w:tcBorders>
          </w:tcPr>
          <w:p w:rsidR="00B83890" w:rsidRPr="00633B89" w:rsidRDefault="00B83890" w:rsidP="006E6DC8">
            <w:pPr>
              <w:pStyle w:val="Heading2"/>
              <w:jc w:val="right"/>
              <w:rPr>
                <w:b w:val="0"/>
                <w:i/>
                <w:sz w:val="20"/>
                <w:szCs w:val="20"/>
              </w:rPr>
            </w:pPr>
          </w:p>
        </w:tc>
      </w:tr>
      <w:tr w:rsidR="00B83890" w:rsidRPr="00633B89" w:rsidTr="00D74A18">
        <w:trPr>
          <w:gridBefore w:val="1"/>
          <w:trHeight w:val="469"/>
        </w:trPr>
        <w:tc>
          <w:tcPr>
            <w:tcW w:w="4850" w:type="dxa"/>
            <w:tcBorders>
              <w:top w:val="single" w:sz="4" w:space="0" w:color="auto"/>
              <w:bottom w:val="single" w:sz="4" w:space="0" w:color="auto"/>
            </w:tcBorders>
            <w:vAlign w:val="center"/>
          </w:tcPr>
          <w:p w:rsidR="00B83890" w:rsidRPr="00633B89" w:rsidRDefault="00B83890" w:rsidP="006E6DC8">
            <w:pPr>
              <w:pStyle w:val="Heading2"/>
              <w:rPr>
                <w:i/>
                <w:sz w:val="20"/>
                <w:szCs w:val="20"/>
              </w:rPr>
            </w:pPr>
            <w:r w:rsidRPr="00633B89">
              <w:rPr>
                <w:sz w:val="20"/>
                <w:szCs w:val="20"/>
              </w:rPr>
              <w:t>Net Assets</w:t>
            </w:r>
          </w:p>
        </w:tc>
        <w:tc>
          <w:tcPr>
            <w:tcW w:w="1134" w:type="dxa"/>
            <w:tcBorders>
              <w:top w:val="single" w:sz="4" w:space="0" w:color="auto"/>
              <w:bottom w:val="single" w:sz="4" w:space="0" w:color="auto"/>
            </w:tcBorders>
            <w:vAlign w:val="center"/>
          </w:tcPr>
          <w:p w:rsidR="00B83890" w:rsidRPr="00633B89" w:rsidRDefault="00B83890" w:rsidP="006E6DC8">
            <w:pPr>
              <w:pStyle w:val="Heading2"/>
              <w:jc w:val="center"/>
              <w:rPr>
                <w:i/>
                <w:sz w:val="20"/>
                <w:szCs w:val="20"/>
              </w:rPr>
            </w:pPr>
          </w:p>
        </w:tc>
        <w:tc>
          <w:tcPr>
            <w:tcW w:w="1843" w:type="dxa"/>
            <w:tcBorders>
              <w:top w:val="single" w:sz="4" w:space="0" w:color="auto"/>
              <w:bottom w:val="single" w:sz="4" w:space="0" w:color="auto"/>
            </w:tcBorders>
            <w:vAlign w:val="center"/>
          </w:tcPr>
          <w:p w:rsidR="00B83890" w:rsidRPr="00633B89" w:rsidRDefault="00B83890" w:rsidP="006E6DC8">
            <w:pPr>
              <w:pStyle w:val="Heading2"/>
              <w:jc w:val="right"/>
              <w:rPr>
                <w:i/>
                <w:sz w:val="20"/>
                <w:szCs w:val="20"/>
              </w:rPr>
            </w:pPr>
            <w:r w:rsidRPr="00633B89">
              <w:rPr>
                <w:sz w:val="20"/>
                <w:szCs w:val="20"/>
              </w:rPr>
              <w:t>1,028,814</w:t>
            </w:r>
          </w:p>
        </w:tc>
        <w:tc>
          <w:tcPr>
            <w:tcW w:w="1417" w:type="dxa"/>
            <w:gridSpan w:val="2"/>
            <w:tcBorders>
              <w:top w:val="single" w:sz="4" w:space="0" w:color="auto"/>
              <w:bottom w:val="single" w:sz="4" w:space="0" w:color="auto"/>
            </w:tcBorders>
            <w:vAlign w:val="center"/>
          </w:tcPr>
          <w:p w:rsidR="00B83890" w:rsidRPr="00633B89" w:rsidRDefault="00B83890" w:rsidP="006E6DC8">
            <w:pPr>
              <w:pStyle w:val="Heading2"/>
              <w:jc w:val="right"/>
              <w:rPr>
                <w:i/>
                <w:sz w:val="20"/>
                <w:szCs w:val="20"/>
              </w:rPr>
            </w:pPr>
            <w:r w:rsidRPr="00633B89">
              <w:rPr>
                <w:sz w:val="20"/>
                <w:szCs w:val="20"/>
              </w:rPr>
              <w:t>1,047,085</w:t>
            </w:r>
          </w:p>
        </w:tc>
      </w:tr>
      <w:tr w:rsidR="00B83890" w:rsidRPr="00633B89" w:rsidTr="00D74A18">
        <w:trPr>
          <w:gridBefore w:val="1"/>
          <w:trHeight w:hRule="exact" w:val="255"/>
        </w:trPr>
        <w:tc>
          <w:tcPr>
            <w:tcW w:w="4850" w:type="dxa"/>
            <w:tcBorders>
              <w:top w:val="single" w:sz="4" w:space="0" w:color="auto"/>
            </w:tcBorders>
            <w:vAlign w:val="center"/>
          </w:tcPr>
          <w:p w:rsidR="00B83890" w:rsidRPr="00633B89" w:rsidRDefault="00B83890" w:rsidP="006E6DC8">
            <w:pPr>
              <w:pStyle w:val="Heading2"/>
              <w:rPr>
                <w:b w:val="0"/>
                <w:i/>
                <w:sz w:val="20"/>
                <w:szCs w:val="20"/>
              </w:rPr>
            </w:pPr>
          </w:p>
        </w:tc>
        <w:tc>
          <w:tcPr>
            <w:tcW w:w="1134" w:type="dxa"/>
            <w:tcBorders>
              <w:top w:val="single" w:sz="4" w:space="0" w:color="auto"/>
            </w:tcBorders>
            <w:vAlign w:val="center"/>
          </w:tcPr>
          <w:p w:rsidR="00B83890" w:rsidRPr="00633B89" w:rsidRDefault="00B83890" w:rsidP="006E6DC8">
            <w:pPr>
              <w:pStyle w:val="Heading2"/>
              <w:jc w:val="center"/>
              <w:rPr>
                <w:b w:val="0"/>
                <w:i/>
                <w:sz w:val="20"/>
                <w:szCs w:val="20"/>
              </w:rPr>
            </w:pPr>
          </w:p>
        </w:tc>
        <w:tc>
          <w:tcPr>
            <w:tcW w:w="1843" w:type="dxa"/>
            <w:tcBorders>
              <w:top w:val="single" w:sz="4" w:space="0" w:color="auto"/>
            </w:tcBorders>
            <w:vAlign w:val="center"/>
          </w:tcPr>
          <w:p w:rsidR="00B83890" w:rsidRPr="00633B89" w:rsidRDefault="00B83890" w:rsidP="006E6DC8">
            <w:pPr>
              <w:pStyle w:val="Heading2"/>
              <w:jc w:val="right"/>
              <w:rPr>
                <w:b w:val="0"/>
                <w:i/>
                <w:sz w:val="20"/>
                <w:szCs w:val="20"/>
              </w:rPr>
            </w:pPr>
          </w:p>
        </w:tc>
        <w:tc>
          <w:tcPr>
            <w:tcW w:w="1417" w:type="dxa"/>
            <w:gridSpan w:val="2"/>
            <w:tcBorders>
              <w:top w:val="single" w:sz="4" w:space="0" w:color="auto"/>
            </w:tcBorders>
            <w:vAlign w:val="center"/>
          </w:tcPr>
          <w:p w:rsidR="00B83890" w:rsidRPr="00633B89" w:rsidRDefault="00B83890" w:rsidP="006E6DC8">
            <w:pPr>
              <w:pStyle w:val="Heading2"/>
              <w:jc w:val="right"/>
              <w:rPr>
                <w:b w:val="0"/>
                <w:i/>
                <w:sz w:val="20"/>
                <w:szCs w:val="20"/>
              </w:rPr>
            </w:pPr>
          </w:p>
        </w:tc>
      </w:tr>
      <w:tr w:rsidR="00B83890" w:rsidRPr="00633B89" w:rsidTr="00D74A18">
        <w:trPr>
          <w:gridBefore w:val="1"/>
          <w:trHeight w:hRule="exact" w:val="255"/>
        </w:trPr>
        <w:tc>
          <w:tcPr>
            <w:tcW w:w="4850" w:type="dxa"/>
            <w:vAlign w:val="center"/>
          </w:tcPr>
          <w:p w:rsidR="00B83890" w:rsidRPr="00633B89" w:rsidRDefault="00B83890" w:rsidP="006E6DC8">
            <w:pPr>
              <w:pStyle w:val="Heading2"/>
              <w:rPr>
                <w:i/>
                <w:sz w:val="20"/>
                <w:szCs w:val="20"/>
              </w:rPr>
            </w:pPr>
            <w:r w:rsidRPr="00633B89">
              <w:rPr>
                <w:sz w:val="20"/>
                <w:szCs w:val="20"/>
              </w:rPr>
              <w:t>Equity</w:t>
            </w:r>
          </w:p>
        </w:tc>
        <w:tc>
          <w:tcPr>
            <w:tcW w:w="1134" w:type="dxa"/>
            <w:vAlign w:val="center"/>
          </w:tcPr>
          <w:p w:rsidR="00B83890" w:rsidRPr="00633B89" w:rsidRDefault="00B83890" w:rsidP="006E6DC8">
            <w:pPr>
              <w:jc w:val="center"/>
              <w:rPr>
                <w:b/>
                <w:color w:val="000000"/>
                <w:sz w:val="20"/>
                <w:szCs w:val="20"/>
              </w:rPr>
            </w:pPr>
          </w:p>
        </w:tc>
        <w:tc>
          <w:tcPr>
            <w:tcW w:w="1843" w:type="dxa"/>
            <w:vAlign w:val="center"/>
          </w:tcPr>
          <w:p w:rsidR="00B83890" w:rsidRPr="00633B89" w:rsidRDefault="00B83890" w:rsidP="006E6DC8">
            <w:pPr>
              <w:jc w:val="right"/>
              <w:rPr>
                <w:b/>
                <w:i/>
                <w:color w:val="000000"/>
                <w:sz w:val="20"/>
                <w:szCs w:val="20"/>
              </w:rPr>
            </w:pPr>
          </w:p>
        </w:tc>
        <w:tc>
          <w:tcPr>
            <w:tcW w:w="1417" w:type="dxa"/>
            <w:gridSpan w:val="2"/>
            <w:vAlign w:val="center"/>
          </w:tcPr>
          <w:p w:rsidR="00B83890" w:rsidRPr="00633B89" w:rsidRDefault="00B83890" w:rsidP="006E6DC8">
            <w:pPr>
              <w:jc w:val="right"/>
              <w:rPr>
                <w:b/>
                <w:i/>
                <w:color w:val="000000"/>
                <w:sz w:val="20"/>
                <w:szCs w:val="20"/>
              </w:rPr>
            </w:pPr>
          </w:p>
        </w:tc>
      </w:tr>
      <w:tr w:rsidR="00B83890" w:rsidRPr="00633B89" w:rsidTr="00D74A18">
        <w:trPr>
          <w:gridBefore w:val="1"/>
          <w:trHeight w:hRule="exact" w:val="255"/>
        </w:trPr>
        <w:tc>
          <w:tcPr>
            <w:tcW w:w="4850" w:type="dxa"/>
            <w:vAlign w:val="center"/>
          </w:tcPr>
          <w:p w:rsidR="00B83890" w:rsidRPr="00633B89" w:rsidRDefault="00B83890" w:rsidP="006E6DC8">
            <w:pPr>
              <w:rPr>
                <w:color w:val="000000"/>
                <w:sz w:val="20"/>
                <w:szCs w:val="20"/>
              </w:rPr>
            </w:pPr>
            <w:r w:rsidRPr="00633B89">
              <w:rPr>
                <w:color w:val="000000"/>
                <w:sz w:val="20"/>
                <w:szCs w:val="20"/>
              </w:rPr>
              <w:t>Accumulated Deficit</w:t>
            </w:r>
          </w:p>
        </w:tc>
        <w:tc>
          <w:tcPr>
            <w:tcW w:w="1134" w:type="dxa"/>
            <w:vAlign w:val="center"/>
          </w:tcPr>
          <w:p w:rsidR="00B83890" w:rsidRPr="00633B89" w:rsidRDefault="00B83890" w:rsidP="006E6DC8">
            <w:pPr>
              <w:jc w:val="center"/>
              <w:rPr>
                <w:color w:val="000000"/>
                <w:sz w:val="20"/>
                <w:szCs w:val="20"/>
              </w:rPr>
            </w:pPr>
            <w:r w:rsidRPr="00633B89">
              <w:rPr>
                <w:color w:val="000000"/>
                <w:sz w:val="20"/>
                <w:szCs w:val="20"/>
              </w:rPr>
              <w:t>13(b)</w:t>
            </w:r>
          </w:p>
        </w:tc>
        <w:tc>
          <w:tcPr>
            <w:tcW w:w="1843" w:type="dxa"/>
            <w:vAlign w:val="center"/>
          </w:tcPr>
          <w:p w:rsidR="00B83890" w:rsidRPr="00633B89" w:rsidRDefault="00B83890" w:rsidP="006E6DC8">
            <w:pPr>
              <w:jc w:val="right"/>
              <w:rPr>
                <w:sz w:val="20"/>
                <w:szCs w:val="20"/>
              </w:rPr>
            </w:pPr>
            <w:r w:rsidRPr="00633B89">
              <w:rPr>
                <w:sz w:val="20"/>
                <w:szCs w:val="20"/>
              </w:rPr>
              <w:t>(114,063)</w:t>
            </w:r>
          </w:p>
        </w:tc>
        <w:tc>
          <w:tcPr>
            <w:tcW w:w="1417" w:type="dxa"/>
            <w:gridSpan w:val="2"/>
            <w:vAlign w:val="center"/>
          </w:tcPr>
          <w:p w:rsidR="00B83890" w:rsidRPr="00633B89" w:rsidRDefault="00B83890" w:rsidP="006E6DC8">
            <w:pPr>
              <w:jc w:val="right"/>
              <w:rPr>
                <w:sz w:val="20"/>
                <w:szCs w:val="20"/>
              </w:rPr>
            </w:pPr>
            <w:r w:rsidRPr="00633B89">
              <w:rPr>
                <w:sz w:val="20"/>
                <w:szCs w:val="20"/>
              </w:rPr>
              <w:t>(95,987)</w:t>
            </w:r>
          </w:p>
        </w:tc>
      </w:tr>
      <w:tr w:rsidR="00B83890" w:rsidRPr="00633B89" w:rsidTr="00D74A18">
        <w:trPr>
          <w:gridBefore w:val="1"/>
          <w:trHeight w:hRule="exact" w:val="255"/>
        </w:trPr>
        <w:tc>
          <w:tcPr>
            <w:tcW w:w="4850" w:type="dxa"/>
            <w:vAlign w:val="center"/>
          </w:tcPr>
          <w:p w:rsidR="00B83890" w:rsidRPr="00633B89" w:rsidRDefault="00B83890" w:rsidP="006E6DC8">
            <w:pPr>
              <w:rPr>
                <w:color w:val="000000"/>
                <w:sz w:val="20"/>
                <w:szCs w:val="20"/>
              </w:rPr>
            </w:pPr>
            <w:r w:rsidRPr="00633B89">
              <w:rPr>
                <w:color w:val="000000"/>
                <w:sz w:val="20"/>
                <w:szCs w:val="20"/>
              </w:rPr>
              <w:t xml:space="preserve">Reserves </w:t>
            </w:r>
          </w:p>
        </w:tc>
        <w:tc>
          <w:tcPr>
            <w:tcW w:w="1134" w:type="dxa"/>
            <w:vAlign w:val="center"/>
          </w:tcPr>
          <w:p w:rsidR="00B83890" w:rsidRPr="00633B89" w:rsidRDefault="00B83890" w:rsidP="006E6DC8">
            <w:pPr>
              <w:jc w:val="center"/>
              <w:rPr>
                <w:color w:val="000000"/>
                <w:sz w:val="20"/>
                <w:szCs w:val="20"/>
              </w:rPr>
            </w:pPr>
            <w:r w:rsidRPr="00633B89">
              <w:rPr>
                <w:color w:val="000000"/>
                <w:sz w:val="20"/>
                <w:szCs w:val="20"/>
              </w:rPr>
              <w:t>13(c)</w:t>
            </w:r>
          </w:p>
        </w:tc>
        <w:tc>
          <w:tcPr>
            <w:tcW w:w="1843" w:type="dxa"/>
            <w:vAlign w:val="center"/>
          </w:tcPr>
          <w:p w:rsidR="00B83890" w:rsidRPr="00633B89" w:rsidRDefault="00B83890" w:rsidP="006E6DC8">
            <w:pPr>
              <w:jc w:val="right"/>
              <w:rPr>
                <w:sz w:val="20"/>
                <w:szCs w:val="20"/>
              </w:rPr>
            </w:pPr>
            <w:r w:rsidRPr="00633B89">
              <w:rPr>
                <w:sz w:val="20"/>
                <w:szCs w:val="20"/>
              </w:rPr>
              <w:t>561,507</w:t>
            </w:r>
          </w:p>
        </w:tc>
        <w:tc>
          <w:tcPr>
            <w:tcW w:w="1417" w:type="dxa"/>
            <w:gridSpan w:val="2"/>
            <w:vAlign w:val="center"/>
          </w:tcPr>
          <w:p w:rsidR="00B83890" w:rsidRPr="00633B89" w:rsidRDefault="00B83890" w:rsidP="006E6DC8">
            <w:pPr>
              <w:jc w:val="right"/>
              <w:rPr>
                <w:sz w:val="20"/>
                <w:szCs w:val="20"/>
              </w:rPr>
            </w:pPr>
            <w:r w:rsidRPr="00633B89">
              <w:rPr>
                <w:sz w:val="20"/>
                <w:szCs w:val="20"/>
              </w:rPr>
              <w:t>561,702</w:t>
            </w:r>
          </w:p>
        </w:tc>
      </w:tr>
      <w:tr w:rsidR="00B83890" w:rsidRPr="00633B89" w:rsidTr="00D74A18">
        <w:trPr>
          <w:gridBefore w:val="1"/>
          <w:trHeight w:hRule="exact" w:val="255"/>
        </w:trPr>
        <w:tc>
          <w:tcPr>
            <w:tcW w:w="4850" w:type="dxa"/>
            <w:vAlign w:val="center"/>
          </w:tcPr>
          <w:p w:rsidR="00B83890" w:rsidRPr="00633B89" w:rsidRDefault="00B83890" w:rsidP="006E6DC8">
            <w:pPr>
              <w:rPr>
                <w:color w:val="000000"/>
                <w:sz w:val="20"/>
                <w:szCs w:val="20"/>
              </w:rPr>
            </w:pPr>
            <w:r w:rsidRPr="00633B89">
              <w:rPr>
                <w:color w:val="000000"/>
                <w:sz w:val="20"/>
                <w:szCs w:val="20"/>
              </w:rPr>
              <w:t>Contributed Capital</w:t>
            </w:r>
          </w:p>
        </w:tc>
        <w:tc>
          <w:tcPr>
            <w:tcW w:w="1134" w:type="dxa"/>
            <w:vAlign w:val="center"/>
          </w:tcPr>
          <w:p w:rsidR="00B83890" w:rsidRPr="00633B89" w:rsidRDefault="00B83890" w:rsidP="006E6DC8">
            <w:pPr>
              <w:jc w:val="center"/>
              <w:rPr>
                <w:b/>
                <w:color w:val="000000"/>
                <w:sz w:val="20"/>
                <w:szCs w:val="20"/>
              </w:rPr>
            </w:pPr>
            <w:r w:rsidRPr="00633B89">
              <w:rPr>
                <w:color w:val="000000"/>
                <w:sz w:val="20"/>
                <w:szCs w:val="20"/>
              </w:rPr>
              <w:t>13(a)</w:t>
            </w:r>
          </w:p>
        </w:tc>
        <w:tc>
          <w:tcPr>
            <w:tcW w:w="1843" w:type="dxa"/>
            <w:vAlign w:val="center"/>
          </w:tcPr>
          <w:p w:rsidR="00B83890" w:rsidRPr="00633B89" w:rsidRDefault="00B83890" w:rsidP="006E6DC8">
            <w:pPr>
              <w:jc w:val="right"/>
              <w:rPr>
                <w:sz w:val="20"/>
                <w:szCs w:val="20"/>
              </w:rPr>
            </w:pPr>
            <w:r w:rsidRPr="00633B89">
              <w:rPr>
                <w:sz w:val="20"/>
                <w:szCs w:val="20"/>
              </w:rPr>
              <w:t>581,370</w:t>
            </w:r>
          </w:p>
        </w:tc>
        <w:tc>
          <w:tcPr>
            <w:tcW w:w="1417" w:type="dxa"/>
            <w:gridSpan w:val="2"/>
            <w:vAlign w:val="center"/>
          </w:tcPr>
          <w:p w:rsidR="00B83890" w:rsidRPr="00633B89" w:rsidRDefault="00B83890" w:rsidP="006E6DC8">
            <w:pPr>
              <w:jc w:val="right"/>
              <w:rPr>
                <w:sz w:val="20"/>
                <w:szCs w:val="20"/>
              </w:rPr>
            </w:pPr>
            <w:r w:rsidRPr="00633B89">
              <w:rPr>
                <w:sz w:val="20"/>
                <w:szCs w:val="20"/>
              </w:rPr>
              <w:t>581,370</w:t>
            </w:r>
          </w:p>
        </w:tc>
      </w:tr>
      <w:tr w:rsidR="00B83890" w:rsidRPr="00633B89" w:rsidTr="00D74A18">
        <w:trPr>
          <w:gridBefore w:val="1"/>
          <w:trHeight w:val="500"/>
        </w:trPr>
        <w:tc>
          <w:tcPr>
            <w:tcW w:w="4850" w:type="dxa"/>
            <w:tcBorders>
              <w:top w:val="single" w:sz="4" w:space="0" w:color="auto"/>
              <w:bottom w:val="double" w:sz="4" w:space="0" w:color="auto"/>
            </w:tcBorders>
            <w:vAlign w:val="center"/>
          </w:tcPr>
          <w:p w:rsidR="00B83890" w:rsidRPr="00633B89" w:rsidRDefault="00B83890" w:rsidP="006E6DC8">
            <w:pPr>
              <w:pStyle w:val="Heading2"/>
              <w:rPr>
                <w:i/>
                <w:sz w:val="20"/>
                <w:szCs w:val="20"/>
              </w:rPr>
            </w:pPr>
            <w:r w:rsidRPr="00633B89">
              <w:rPr>
                <w:sz w:val="20"/>
                <w:szCs w:val="20"/>
              </w:rPr>
              <w:t>Net Worth</w:t>
            </w:r>
          </w:p>
        </w:tc>
        <w:tc>
          <w:tcPr>
            <w:tcW w:w="1134" w:type="dxa"/>
            <w:tcBorders>
              <w:top w:val="single" w:sz="4" w:space="0" w:color="auto"/>
              <w:bottom w:val="double" w:sz="4" w:space="0" w:color="auto"/>
            </w:tcBorders>
            <w:vAlign w:val="center"/>
          </w:tcPr>
          <w:p w:rsidR="00B83890" w:rsidRPr="00633B89" w:rsidRDefault="00B83890" w:rsidP="006E6DC8">
            <w:pPr>
              <w:jc w:val="center"/>
              <w:rPr>
                <w:b/>
                <w:i/>
                <w:color w:val="000000"/>
                <w:sz w:val="20"/>
                <w:szCs w:val="20"/>
              </w:rPr>
            </w:pPr>
          </w:p>
        </w:tc>
        <w:tc>
          <w:tcPr>
            <w:tcW w:w="1843" w:type="dxa"/>
            <w:tcBorders>
              <w:top w:val="single" w:sz="4" w:space="0" w:color="auto"/>
              <w:bottom w:val="double" w:sz="4" w:space="0" w:color="auto"/>
            </w:tcBorders>
            <w:vAlign w:val="center"/>
          </w:tcPr>
          <w:p w:rsidR="00B83890" w:rsidRPr="00633B89" w:rsidRDefault="00B83890" w:rsidP="006E6DC8">
            <w:pPr>
              <w:jc w:val="right"/>
              <w:rPr>
                <w:b/>
                <w:color w:val="000000"/>
                <w:sz w:val="20"/>
                <w:szCs w:val="20"/>
              </w:rPr>
            </w:pPr>
            <w:r w:rsidRPr="00633B89">
              <w:rPr>
                <w:b/>
                <w:color w:val="000000"/>
                <w:sz w:val="20"/>
                <w:szCs w:val="20"/>
              </w:rPr>
              <w:t>1,028,814</w:t>
            </w:r>
          </w:p>
        </w:tc>
        <w:tc>
          <w:tcPr>
            <w:tcW w:w="1417" w:type="dxa"/>
            <w:gridSpan w:val="2"/>
            <w:tcBorders>
              <w:top w:val="single" w:sz="4" w:space="0" w:color="auto"/>
              <w:bottom w:val="double" w:sz="4" w:space="0" w:color="auto"/>
            </w:tcBorders>
            <w:vAlign w:val="center"/>
          </w:tcPr>
          <w:p w:rsidR="00B83890" w:rsidRPr="00633B89" w:rsidRDefault="00B83890" w:rsidP="006E6DC8">
            <w:pPr>
              <w:jc w:val="right"/>
              <w:rPr>
                <w:b/>
                <w:color w:val="000000"/>
                <w:sz w:val="20"/>
                <w:szCs w:val="20"/>
              </w:rPr>
            </w:pPr>
            <w:r w:rsidRPr="00633B89">
              <w:rPr>
                <w:b/>
                <w:color w:val="000000"/>
                <w:sz w:val="20"/>
                <w:szCs w:val="20"/>
              </w:rPr>
              <w:t>1,047,085</w:t>
            </w:r>
          </w:p>
        </w:tc>
      </w:tr>
    </w:tbl>
    <w:p w:rsidR="00B83890" w:rsidRPr="00431051" w:rsidRDefault="00B83890" w:rsidP="00B83890">
      <w:pPr>
        <w:spacing w:before="40"/>
        <w:rPr>
          <w:lang w:val="en-GB"/>
        </w:rPr>
      </w:pPr>
      <w:r w:rsidRPr="00D61508">
        <w:rPr>
          <w:lang w:val="en-GB"/>
        </w:rPr>
        <w:t>Contingent li</w:t>
      </w:r>
      <w:r w:rsidR="00751664">
        <w:rPr>
          <w:lang w:val="en-GB"/>
        </w:rPr>
        <w:t>abilities and contingent assets</w:t>
      </w:r>
      <w:r w:rsidR="00751664">
        <w:rPr>
          <w:lang w:val="en-GB"/>
        </w:rPr>
        <w:tab/>
      </w:r>
      <w:r w:rsidR="00751664">
        <w:rPr>
          <w:lang w:val="en-GB"/>
        </w:rPr>
        <w:tab/>
      </w:r>
      <w:r w:rsidR="00751664">
        <w:rPr>
          <w:lang w:val="en-GB"/>
        </w:rPr>
        <w:tab/>
      </w:r>
      <w:r w:rsidRPr="00431051">
        <w:rPr>
          <w:lang w:val="en-GB"/>
        </w:rPr>
        <w:t>1</w:t>
      </w:r>
      <w:r>
        <w:rPr>
          <w:lang w:val="en-GB"/>
        </w:rPr>
        <w:t>4</w:t>
      </w:r>
      <w:r w:rsidRPr="00431051">
        <w:rPr>
          <w:lang w:val="en-GB"/>
        </w:rPr>
        <w:t>.</w:t>
      </w:r>
    </w:p>
    <w:p w:rsidR="00B83890" w:rsidRPr="00D61508" w:rsidRDefault="00751664" w:rsidP="00B83890">
      <w:pPr>
        <w:rPr>
          <w:lang w:val="en-GB"/>
        </w:rPr>
      </w:pPr>
      <w:r>
        <w:rPr>
          <w:lang w:val="en-GB"/>
        </w:rPr>
        <w:t>Commitments for expenditure</w:t>
      </w:r>
      <w:r>
        <w:rPr>
          <w:lang w:val="en-GB"/>
        </w:rPr>
        <w:tab/>
      </w:r>
      <w:r>
        <w:rPr>
          <w:lang w:val="en-GB"/>
        </w:rPr>
        <w:tab/>
      </w:r>
      <w:r>
        <w:rPr>
          <w:lang w:val="en-GB"/>
        </w:rPr>
        <w:tab/>
      </w:r>
      <w:r>
        <w:rPr>
          <w:lang w:val="en-GB"/>
        </w:rPr>
        <w:tab/>
      </w:r>
      <w:r w:rsidR="00B83890">
        <w:rPr>
          <w:lang w:val="en-GB"/>
        </w:rPr>
        <w:t>18</w:t>
      </w:r>
      <w:r w:rsidR="00B83890" w:rsidRPr="00431051">
        <w:rPr>
          <w:lang w:val="en-GB"/>
        </w:rPr>
        <w:t>.</w:t>
      </w:r>
    </w:p>
    <w:p w:rsidR="00B83890" w:rsidRDefault="00B83890" w:rsidP="00B83890">
      <w:pPr>
        <w:rPr>
          <w:b/>
          <w:lang w:val="en-GB"/>
        </w:rPr>
      </w:pPr>
    </w:p>
    <w:p w:rsidR="00B83890" w:rsidRDefault="00B83890" w:rsidP="00B83890">
      <w:r>
        <w:rPr>
          <w:b/>
          <w:lang w:val="en-GB"/>
        </w:rPr>
        <w:t xml:space="preserve">The above Balance Sheet should be read in conjunction with the accompanying notes. </w:t>
      </w:r>
    </w:p>
    <w:p w:rsidR="00B83890" w:rsidRDefault="00B83890" w:rsidP="00B83890">
      <w:pPr>
        <w:keepNext w:val="0"/>
        <w:outlineLvl w:val="9"/>
        <w:rPr>
          <w:b/>
          <w:sz w:val="32"/>
          <w:szCs w:val="32"/>
        </w:rPr>
        <w:sectPr w:rsidR="00B83890" w:rsidSect="006E6DC8">
          <w:type w:val="continuous"/>
          <w:pgSz w:w="11906" w:h="16838"/>
          <w:pgMar w:top="1440" w:right="1800" w:bottom="1440" w:left="1800" w:header="720" w:footer="720" w:gutter="0"/>
          <w:cols w:space="720"/>
          <w:docGrid w:linePitch="360"/>
        </w:sectPr>
      </w:pPr>
    </w:p>
    <w:p w:rsidR="00B83890" w:rsidRPr="008257C8" w:rsidRDefault="00B83890" w:rsidP="00513943">
      <w:pPr>
        <w:pStyle w:val="Heading2"/>
      </w:pPr>
      <w:r w:rsidRPr="008257C8">
        <w:lastRenderedPageBreak/>
        <w:t>Statement of changes in Equity for the Financial Year Ended 20 June 2013</w:t>
      </w:r>
    </w:p>
    <w:p w:rsidR="00B83890" w:rsidRDefault="00B83890" w:rsidP="00B83890">
      <w:pPr>
        <w:keepNext w:val="0"/>
        <w:outlineLvl w:val="9"/>
        <w:rPr>
          <w:b/>
          <w:sz w:val="32"/>
          <w:szCs w:val="32"/>
        </w:rPr>
      </w:pPr>
    </w:p>
    <w:p w:rsidR="00B83890" w:rsidRPr="00C21FC7" w:rsidRDefault="00B83890" w:rsidP="00B83890">
      <w:pPr>
        <w:spacing w:before="40"/>
        <w:rPr>
          <w:lang w:val="en-GB"/>
        </w:rPr>
      </w:pPr>
    </w:p>
    <w:tbl>
      <w:tblPr>
        <w:tblW w:w="13316" w:type="dxa"/>
        <w:tblInd w:w="93" w:type="dxa"/>
        <w:tblLook w:val="00A0" w:firstRow="1" w:lastRow="0" w:firstColumn="1" w:lastColumn="0" w:noHBand="0" w:noVBand="0"/>
        <w:tblCaption w:val="Statement of changes in Equity for the Financial Year ended 30 June 2013"/>
        <w:tblDescription w:val="This table shows changes in equity for 2012–13 with a comparison to 2011–12."/>
      </w:tblPr>
      <w:tblGrid>
        <w:gridCol w:w="3984"/>
        <w:gridCol w:w="760"/>
        <w:gridCol w:w="1400"/>
        <w:gridCol w:w="1572"/>
        <w:gridCol w:w="1400"/>
        <w:gridCol w:w="1400"/>
        <w:gridCol w:w="1400"/>
        <w:gridCol w:w="1400"/>
      </w:tblGrid>
      <w:tr w:rsidR="00B83890" w:rsidRPr="00633B89" w:rsidTr="006E6DC8">
        <w:trPr>
          <w:trHeight w:val="255"/>
        </w:trPr>
        <w:tc>
          <w:tcPr>
            <w:tcW w:w="3984" w:type="dxa"/>
            <w:tcBorders>
              <w:top w:val="nil"/>
              <w:left w:val="nil"/>
              <w:bottom w:val="nil"/>
              <w:right w:val="nil"/>
            </w:tcBorders>
            <w:noWrap/>
            <w:vAlign w:val="bottom"/>
          </w:tcPr>
          <w:p w:rsidR="00B83890" w:rsidRPr="00633B89" w:rsidRDefault="00B83890" w:rsidP="006E6DC8">
            <w:pPr>
              <w:rPr>
                <w:rFonts w:cs="Arial"/>
                <w:b/>
                <w:bCs/>
                <w:sz w:val="20"/>
                <w:szCs w:val="20"/>
              </w:rPr>
            </w:pPr>
          </w:p>
        </w:tc>
        <w:tc>
          <w:tcPr>
            <w:tcW w:w="760" w:type="dxa"/>
            <w:tcBorders>
              <w:top w:val="nil"/>
              <w:left w:val="nil"/>
              <w:bottom w:val="nil"/>
              <w:right w:val="nil"/>
            </w:tcBorders>
            <w:noWrap/>
            <w:vAlign w:val="bottom"/>
          </w:tcPr>
          <w:p w:rsidR="00B83890" w:rsidRPr="00633B89" w:rsidRDefault="00B83890" w:rsidP="006E6DC8">
            <w:pPr>
              <w:rPr>
                <w:rFonts w:cs="Arial"/>
                <w:b/>
                <w:bCs/>
                <w:sz w:val="20"/>
                <w:szCs w:val="20"/>
              </w:rPr>
            </w:pPr>
          </w:p>
        </w:tc>
        <w:tc>
          <w:tcPr>
            <w:tcW w:w="1400" w:type="dxa"/>
            <w:tcBorders>
              <w:top w:val="nil"/>
              <w:left w:val="nil"/>
              <w:bottom w:val="nil"/>
              <w:right w:val="nil"/>
            </w:tcBorders>
            <w:noWrap/>
            <w:vAlign w:val="bottom"/>
          </w:tcPr>
          <w:p w:rsidR="00B83890" w:rsidRPr="00633B89" w:rsidRDefault="00B83890" w:rsidP="006E6DC8">
            <w:pPr>
              <w:rPr>
                <w:rFonts w:cs="Arial"/>
                <w:b/>
                <w:bCs/>
                <w:i/>
                <w:iCs/>
                <w:sz w:val="20"/>
                <w:szCs w:val="20"/>
              </w:rPr>
            </w:pPr>
          </w:p>
        </w:tc>
        <w:tc>
          <w:tcPr>
            <w:tcW w:w="1572" w:type="dxa"/>
            <w:tcBorders>
              <w:top w:val="nil"/>
              <w:left w:val="nil"/>
              <w:bottom w:val="nil"/>
              <w:right w:val="nil"/>
            </w:tcBorders>
            <w:noWrap/>
            <w:vAlign w:val="bottom"/>
          </w:tcPr>
          <w:p w:rsidR="00B83890" w:rsidRPr="00633B89" w:rsidRDefault="00B83890" w:rsidP="006E6DC8">
            <w:pPr>
              <w:rPr>
                <w:rFonts w:cs="Arial"/>
                <w:sz w:val="20"/>
                <w:szCs w:val="20"/>
              </w:rPr>
            </w:pPr>
          </w:p>
        </w:tc>
        <w:tc>
          <w:tcPr>
            <w:tcW w:w="1400" w:type="dxa"/>
            <w:tcBorders>
              <w:top w:val="nil"/>
              <w:left w:val="nil"/>
              <w:bottom w:val="nil"/>
              <w:right w:val="nil"/>
            </w:tcBorders>
            <w:noWrap/>
            <w:vAlign w:val="bottom"/>
          </w:tcPr>
          <w:p w:rsidR="00B83890" w:rsidRPr="00633B89" w:rsidRDefault="00B83890" w:rsidP="006E6DC8">
            <w:pPr>
              <w:rPr>
                <w:rFonts w:cs="Arial"/>
                <w:sz w:val="20"/>
                <w:szCs w:val="20"/>
              </w:rPr>
            </w:pPr>
          </w:p>
        </w:tc>
        <w:tc>
          <w:tcPr>
            <w:tcW w:w="1400" w:type="dxa"/>
            <w:tcBorders>
              <w:top w:val="nil"/>
              <w:left w:val="nil"/>
              <w:bottom w:val="nil"/>
              <w:right w:val="nil"/>
            </w:tcBorders>
            <w:noWrap/>
            <w:vAlign w:val="bottom"/>
          </w:tcPr>
          <w:p w:rsidR="00B83890" w:rsidRPr="00633B89" w:rsidRDefault="00B83890" w:rsidP="006E6DC8">
            <w:pPr>
              <w:rPr>
                <w:rFonts w:cs="Arial"/>
                <w:sz w:val="20"/>
                <w:szCs w:val="20"/>
              </w:rPr>
            </w:pPr>
          </w:p>
        </w:tc>
        <w:tc>
          <w:tcPr>
            <w:tcW w:w="1400" w:type="dxa"/>
            <w:tcBorders>
              <w:top w:val="nil"/>
              <w:left w:val="nil"/>
              <w:bottom w:val="nil"/>
              <w:right w:val="nil"/>
            </w:tcBorders>
            <w:noWrap/>
            <w:vAlign w:val="bottom"/>
          </w:tcPr>
          <w:p w:rsidR="00B83890" w:rsidRPr="00633B89" w:rsidRDefault="00B83890" w:rsidP="006E6DC8">
            <w:pPr>
              <w:rPr>
                <w:rFonts w:cs="Arial"/>
                <w:sz w:val="20"/>
                <w:szCs w:val="20"/>
              </w:rPr>
            </w:pPr>
          </w:p>
        </w:tc>
        <w:tc>
          <w:tcPr>
            <w:tcW w:w="1400" w:type="dxa"/>
            <w:tcBorders>
              <w:top w:val="nil"/>
              <w:left w:val="nil"/>
              <w:bottom w:val="nil"/>
              <w:right w:val="nil"/>
            </w:tcBorders>
            <w:noWrap/>
            <w:vAlign w:val="bottom"/>
          </w:tcPr>
          <w:p w:rsidR="00B83890" w:rsidRPr="00633B89" w:rsidRDefault="00B83890" w:rsidP="006E6DC8">
            <w:pPr>
              <w:jc w:val="right"/>
              <w:rPr>
                <w:rFonts w:cs="Arial"/>
                <w:b/>
                <w:bCs/>
                <w:i/>
                <w:iCs/>
                <w:sz w:val="20"/>
                <w:szCs w:val="20"/>
              </w:rPr>
            </w:pPr>
            <w:r w:rsidRPr="00633B89">
              <w:rPr>
                <w:rFonts w:cs="Arial"/>
                <w:b/>
                <w:bCs/>
                <w:i/>
                <w:iCs/>
                <w:sz w:val="20"/>
                <w:szCs w:val="20"/>
              </w:rPr>
              <w:t>$'000</w:t>
            </w:r>
          </w:p>
        </w:tc>
      </w:tr>
      <w:tr w:rsidR="00B83890" w:rsidRPr="00633B89" w:rsidTr="006E6DC8">
        <w:trPr>
          <w:trHeight w:val="1046"/>
        </w:trPr>
        <w:tc>
          <w:tcPr>
            <w:tcW w:w="3984" w:type="dxa"/>
            <w:tcBorders>
              <w:top w:val="single" w:sz="4" w:space="0" w:color="auto"/>
              <w:left w:val="nil"/>
              <w:bottom w:val="single" w:sz="4" w:space="0" w:color="auto"/>
              <w:right w:val="nil"/>
            </w:tcBorders>
            <w:noWrap/>
            <w:vAlign w:val="bottom"/>
          </w:tcPr>
          <w:p w:rsidR="00B83890" w:rsidRPr="00633B89" w:rsidRDefault="00B83890" w:rsidP="006E6DC8">
            <w:pPr>
              <w:spacing w:after="60"/>
              <w:rPr>
                <w:rFonts w:cs="Arial"/>
                <w:b/>
                <w:bCs/>
                <w:sz w:val="20"/>
                <w:szCs w:val="20"/>
              </w:rPr>
            </w:pPr>
            <w:r w:rsidRPr="00633B89">
              <w:rPr>
                <w:rFonts w:cs="Arial"/>
                <w:b/>
                <w:bCs/>
                <w:sz w:val="20"/>
                <w:szCs w:val="20"/>
              </w:rPr>
              <w:t> </w:t>
            </w:r>
          </w:p>
        </w:tc>
        <w:tc>
          <w:tcPr>
            <w:tcW w:w="760" w:type="dxa"/>
            <w:tcBorders>
              <w:top w:val="single" w:sz="4" w:space="0" w:color="auto"/>
              <w:left w:val="nil"/>
              <w:bottom w:val="single" w:sz="4" w:space="0" w:color="auto"/>
              <w:right w:val="nil"/>
            </w:tcBorders>
            <w:noWrap/>
            <w:vAlign w:val="bottom"/>
          </w:tcPr>
          <w:p w:rsidR="00B83890" w:rsidRPr="00633B89" w:rsidRDefault="00B83890" w:rsidP="006E6DC8">
            <w:pPr>
              <w:spacing w:after="60"/>
              <w:jc w:val="center"/>
              <w:rPr>
                <w:rFonts w:cs="Arial"/>
                <w:i/>
                <w:iCs/>
                <w:sz w:val="20"/>
                <w:szCs w:val="20"/>
              </w:rPr>
            </w:pPr>
            <w:r w:rsidRPr="00633B89">
              <w:rPr>
                <w:rFonts w:cs="Arial"/>
                <w:i/>
                <w:iCs/>
                <w:sz w:val="20"/>
                <w:szCs w:val="20"/>
              </w:rPr>
              <w:t>Notes</w:t>
            </w:r>
          </w:p>
        </w:tc>
        <w:tc>
          <w:tcPr>
            <w:tcW w:w="1400" w:type="dxa"/>
            <w:tcBorders>
              <w:top w:val="single" w:sz="4" w:space="0" w:color="auto"/>
              <w:left w:val="nil"/>
              <w:bottom w:val="single" w:sz="4" w:space="0" w:color="auto"/>
              <w:right w:val="nil"/>
            </w:tcBorders>
            <w:vAlign w:val="bottom"/>
          </w:tcPr>
          <w:p w:rsidR="00B83890" w:rsidRPr="00633B89" w:rsidRDefault="00B83890" w:rsidP="006E6DC8">
            <w:pPr>
              <w:spacing w:after="60"/>
              <w:jc w:val="right"/>
              <w:rPr>
                <w:rFonts w:cs="Arial"/>
                <w:sz w:val="20"/>
                <w:szCs w:val="20"/>
              </w:rPr>
            </w:pPr>
            <w:r w:rsidRPr="00633B89">
              <w:rPr>
                <w:rFonts w:cs="Arial"/>
                <w:sz w:val="20"/>
                <w:szCs w:val="20"/>
              </w:rPr>
              <w:t>Physical Asset Revaluation Surplus</w:t>
            </w:r>
          </w:p>
        </w:tc>
        <w:tc>
          <w:tcPr>
            <w:tcW w:w="1572" w:type="dxa"/>
            <w:tcBorders>
              <w:top w:val="single" w:sz="4" w:space="0" w:color="auto"/>
              <w:left w:val="nil"/>
              <w:bottom w:val="single" w:sz="4" w:space="0" w:color="auto"/>
              <w:right w:val="nil"/>
            </w:tcBorders>
            <w:vAlign w:val="bottom"/>
          </w:tcPr>
          <w:p w:rsidR="00B83890" w:rsidRPr="00633B89" w:rsidRDefault="00B83890" w:rsidP="006E6DC8">
            <w:pPr>
              <w:spacing w:after="60"/>
              <w:jc w:val="right"/>
              <w:rPr>
                <w:rFonts w:cs="Arial"/>
                <w:sz w:val="20"/>
                <w:szCs w:val="20"/>
              </w:rPr>
            </w:pPr>
            <w:r w:rsidRPr="00633B89">
              <w:rPr>
                <w:rFonts w:cs="Arial"/>
                <w:sz w:val="20"/>
                <w:szCs w:val="20"/>
              </w:rPr>
              <w:t>Accumulated Deficit</w:t>
            </w:r>
          </w:p>
        </w:tc>
        <w:tc>
          <w:tcPr>
            <w:tcW w:w="1400" w:type="dxa"/>
            <w:tcBorders>
              <w:top w:val="single" w:sz="4" w:space="0" w:color="auto"/>
              <w:left w:val="nil"/>
              <w:bottom w:val="single" w:sz="4" w:space="0" w:color="auto"/>
              <w:right w:val="nil"/>
            </w:tcBorders>
            <w:vAlign w:val="bottom"/>
          </w:tcPr>
          <w:p w:rsidR="00B83890" w:rsidRPr="00633B89" w:rsidRDefault="00B83890" w:rsidP="006E6DC8">
            <w:pPr>
              <w:spacing w:after="60"/>
              <w:jc w:val="right"/>
              <w:rPr>
                <w:rFonts w:cs="Arial"/>
                <w:sz w:val="20"/>
                <w:szCs w:val="20"/>
              </w:rPr>
            </w:pPr>
            <w:r w:rsidRPr="00633B89">
              <w:rPr>
                <w:rFonts w:cs="Arial"/>
                <w:sz w:val="20"/>
                <w:szCs w:val="20"/>
              </w:rPr>
              <w:t>Trust Funds</w:t>
            </w:r>
          </w:p>
        </w:tc>
        <w:tc>
          <w:tcPr>
            <w:tcW w:w="1400" w:type="dxa"/>
            <w:tcBorders>
              <w:top w:val="single" w:sz="4" w:space="0" w:color="auto"/>
              <w:left w:val="nil"/>
              <w:bottom w:val="single" w:sz="4" w:space="0" w:color="auto"/>
              <w:right w:val="nil"/>
            </w:tcBorders>
            <w:vAlign w:val="bottom"/>
          </w:tcPr>
          <w:p w:rsidR="00B83890" w:rsidRPr="00633B89" w:rsidRDefault="00B83890" w:rsidP="006E6DC8">
            <w:pPr>
              <w:spacing w:after="60"/>
              <w:jc w:val="right"/>
              <w:rPr>
                <w:rFonts w:cs="Arial"/>
                <w:sz w:val="20"/>
                <w:szCs w:val="20"/>
              </w:rPr>
            </w:pPr>
            <w:r w:rsidRPr="00633B89">
              <w:rPr>
                <w:rFonts w:cs="Arial"/>
                <w:sz w:val="20"/>
                <w:szCs w:val="20"/>
              </w:rPr>
              <w:t>Externally Funded Special  Projects</w:t>
            </w:r>
          </w:p>
        </w:tc>
        <w:tc>
          <w:tcPr>
            <w:tcW w:w="1400" w:type="dxa"/>
            <w:tcBorders>
              <w:top w:val="single" w:sz="4" w:space="0" w:color="auto"/>
              <w:left w:val="nil"/>
              <w:bottom w:val="single" w:sz="4" w:space="0" w:color="auto"/>
              <w:right w:val="nil"/>
            </w:tcBorders>
            <w:vAlign w:val="bottom"/>
          </w:tcPr>
          <w:p w:rsidR="00B83890" w:rsidRPr="00633B89" w:rsidRDefault="00B83890" w:rsidP="006E6DC8">
            <w:pPr>
              <w:spacing w:after="60"/>
              <w:jc w:val="right"/>
              <w:rPr>
                <w:rFonts w:cs="Arial"/>
                <w:sz w:val="20"/>
                <w:szCs w:val="20"/>
              </w:rPr>
            </w:pPr>
            <w:r w:rsidRPr="00633B89">
              <w:rPr>
                <w:rFonts w:cs="Arial"/>
                <w:sz w:val="20"/>
                <w:szCs w:val="20"/>
              </w:rPr>
              <w:t>Contributions by Owner</w:t>
            </w:r>
          </w:p>
        </w:tc>
        <w:tc>
          <w:tcPr>
            <w:tcW w:w="1400" w:type="dxa"/>
            <w:tcBorders>
              <w:top w:val="single" w:sz="4" w:space="0" w:color="auto"/>
              <w:left w:val="nil"/>
              <w:bottom w:val="single" w:sz="4" w:space="0" w:color="auto"/>
              <w:right w:val="nil"/>
            </w:tcBorders>
            <w:vAlign w:val="bottom"/>
          </w:tcPr>
          <w:p w:rsidR="00B83890" w:rsidRPr="00633B89" w:rsidRDefault="00B83890" w:rsidP="006E6DC8">
            <w:pPr>
              <w:spacing w:after="60"/>
              <w:jc w:val="right"/>
              <w:rPr>
                <w:rFonts w:cs="Arial"/>
                <w:sz w:val="20"/>
                <w:szCs w:val="20"/>
              </w:rPr>
            </w:pPr>
            <w:r w:rsidRPr="00633B89">
              <w:rPr>
                <w:rFonts w:cs="Arial"/>
                <w:sz w:val="20"/>
                <w:szCs w:val="20"/>
              </w:rPr>
              <w:t>Total</w:t>
            </w:r>
          </w:p>
        </w:tc>
      </w:tr>
      <w:tr w:rsidR="00B83890" w:rsidRPr="00633B89" w:rsidTr="006E6DC8">
        <w:trPr>
          <w:trHeight w:val="255"/>
        </w:trPr>
        <w:tc>
          <w:tcPr>
            <w:tcW w:w="3984" w:type="dxa"/>
            <w:tcBorders>
              <w:top w:val="nil"/>
              <w:left w:val="nil"/>
              <w:bottom w:val="nil"/>
              <w:right w:val="nil"/>
            </w:tcBorders>
            <w:noWrap/>
            <w:vAlign w:val="bottom"/>
          </w:tcPr>
          <w:p w:rsidR="00B83890" w:rsidRPr="00633B89" w:rsidRDefault="00B83890" w:rsidP="006E6DC8">
            <w:pPr>
              <w:spacing w:before="60"/>
              <w:rPr>
                <w:rFonts w:cs="Arial"/>
                <w:b/>
                <w:bCs/>
                <w:sz w:val="20"/>
                <w:szCs w:val="20"/>
              </w:rPr>
            </w:pPr>
            <w:r w:rsidRPr="00633B89">
              <w:rPr>
                <w:rFonts w:cs="Arial"/>
                <w:b/>
                <w:bCs/>
                <w:sz w:val="20"/>
                <w:szCs w:val="20"/>
              </w:rPr>
              <w:t>Balance at 1 July 2011</w:t>
            </w:r>
          </w:p>
        </w:tc>
        <w:tc>
          <w:tcPr>
            <w:tcW w:w="760" w:type="dxa"/>
            <w:tcBorders>
              <w:top w:val="nil"/>
              <w:left w:val="nil"/>
              <w:bottom w:val="nil"/>
              <w:right w:val="nil"/>
            </w:tcBorders>
            <w:noWrap/>
            <w:vAlign w:val="bottom"/>
          </w:tcPr>
          <w:p w:rsidR="00B83890" w:rsidRPr="00633B89" w:rsidRDefault="00B83890" w:rsidP="006E6DC8">
            <w:pPr>
              <w:spacing w:before="60"/>
              <w:rPr>
                <w:rFonts w:cs="Arial"/>
                <w:b/>
                <w:bCs/>
                <w:sz w:val="20"/>
                <w:szCs w:val="20"/>
              </w:rPr>
            </w:pPr>
          </w:p>
        </w:tc>
        <w:tc>
          <w:tcPr>
            <w:tcW w:w="1400" w:type="dxa"/>
            <w:tcBorders>
              <w:top w:val="nil"/>
              <w:left w:val="nil"/>
              <w:bottom w:val="nil"/>
              <w:right w:val="nil"/>
            </w:tcBorders>
            <w:noWrap/>
            <w:vAlign w:val="bottom"/>
          </w:tcPr>
          <w:p w:rsidR="00B83890" w:rsidRPr="00633B89" w:rsidRDefault="00B83890" w:rsidP="006E6DC8">
            <w:pPr>
              <w:jc w:val="right"/>
              <w:rPr>
                <w:rFonts w:cs="Arial"/>
                <w:b/>
                <w:bCs/>
                <w:color w:val="000000"/>
                <w:sz w:val="20"/>
                <w:szCs w:val="20"/>
              </w:rPr>
            </w:pPr>
            <w:r w:rsidRPr="00633B89">
              <w:rPr>
                <w:rFonts w:cs="Arial"/>
                <w:b/>
                <w:bCs/>
                <w:color w:val="000000"/>
                <w:sz w:val="20"/>
                <w:szCs w:val="20"/>
              </w:rPr>
              <w:t>545,888</w:t>
            </w:r>
          </w:p>
        </w:tc>
        <w:tc>
          <w:tcPr>
            <w:tcW w:w="1572" w:type="dxa"/>
            <w:tcBorders>
              <w:top w:val="nil"/>
              <w:left w:val="nil"/>
              <w:bottom w:val="nil"/>
              <w:right w:val="nil"/>
            </w:tcBorders>
            <w:noWrap/>
            <w:vAlign w:val="bottom"/>
          </w:tcPr>
          <w:p w:rsidR="00B83890" w:rsidRPr="00633B89" w:rsidRDefault="00B83890" w:rsidP="006E6DC8">
            <w:pPr>
              <w:jc w:val="right"/>
              <w:rPr>
                <w:rFonts w:cs="Arial"/>
                <w:b/>
                <w:bCs/>
                <w:color w:val="000000"/>
                <w:sz w:val="20"/>
                <w:szCs w:val="20"/>
              </w:rPr>
            </w:pPr>
            <w:r w:rsidRPr="00633B89">
              <w:rPr>
                <w:rFonts w:cs="Arial"/>
                <w:b/>
                <w:bCs/>
                <w:color w:val="000000"/>
                <w:sz w:val="20"/>
                <w:szCs w:val="20"/>
              </w:rPr>
              <w:t>(82,991)</w:t>
            </w:r>
          </w:p>
        </w:tc>
        <w:tc>
          <w:tcPr>
            <w:tcW w:w="1400" w:type="dxa"/>
            <w:tcBorders>
              <w:top w:val="nil"/>
              <w:left w:val="nil"/>
              <w:bottom w:val="nil"/>
              <w:right w:val="nil"/>
            </w:tcBorders>
            <w:noWrap/>
            <w:vAlign w:val="bottom"/>
          </w:tcPr>
          <w:p w:rsidR="00B83890" w:rsidRPr="00633B89" w:rsidRDefault="00B83890" w:rsidP="006E6DC8">
            <w:pPr>
              <w:jc w:val="right"/>
              <w:rPr>
                <w:rFonts w:cs="Arial"/>
                <w:b/>
                <w:bCs/>
                <w:color w:val="000000"/>
                <w:sz w:val="20"/>
                <w:szCs w:val="20"/>
              </w:rPr>
            </w:pPr>
            <w:r w:rsidRPr="00633B89">
              <w:rPr>
                <w:rFonts w:cs="Arial"/>
                <w:b/>
                <w:bCs/>
                <w:color w:val="000000"/>
                <w:sz w:val="20"/>
                <w:szCs w:val="20"/>
              </w:rPr>
              <w:t>7,268</w:t>
            </w:r>
          </w:p>
        </w:tc>
        <w:tc>
          <w:tcPr>
            <w:tcW w:w="1400" w:type="dxa"/>
            <w:tcBorders>
              <w:top w:val="nil"/>
              <w:left w:val="nil"/>
              <w:bottom w:val="nil"/>
              <w:right w:val="nil"/>
            </w:tcBorders>
            <w:noWrap/>
            <w:vAlign w:val="bottom"/>
          </w:tcPr>
          <w:p w:rsidR="00B83890" w:rsidRPr="00633B89" w:rsidRDefault="00B83890" w:rsidP="006E6DC8">
            <w:pPr>
              <w:jc w:val="right"/>
              <w:rPr>
                <w:rFonts w:cs="Arial"/>
                <w:b/>
                <w:bCs/>
                <w:color w:val="000000"/>
                <w:sz w:val="20"/>
                <w:szCs w:val="20"/>
              </w:rPr>
            </w:pPr>
            <w:r w:rsidRPr="00633B89">
              <w:rPr>
                <w:rFonts w:cs="Arial"/>
                <w:b/>
                <w:bCs/>
                <w:color w:val="000000"/>
                <w:sz w:val="20"/>
                <w:szCs w:val="20"/>
              </w:rPr>
              <w:t>8,153</w:t>
            </w:r>
          </w:p>
        </w:tc>
        <w:tc>
          <w:tcPr>
            <w:tcW w:w="1400" w:type="dxa"/>
            <w:tcBorders>
              <w:top w:val="nil"/>
              <w:left w:val="nil"/>
              <w:bottom w:val="nil"/>
              <w:right w:val="nil"/>
            </w:tcBorders>
            <w:noWrap/>
            <w:vAlign w:val="bottom"/>
          </w:tcPr>
          <w:p w:rsidR="00B83890" w:rsidRPr="00633B89" w:rsidRDefault="00B83890" w:rsidP="006E6DC8">
            <w:pPr>
              <w:jc w:val="right"/>
              <w:rPr>
                <w:rFonts w:cs="Arial"/>
                <w:b/>
                <w:bCs/>
                <w:color w:val="000000"/>
                <w:sz w:val="20"/>
                <w:szCs w:val="20"/>
              </w:rPr>
            </w:pPr>
            <w:r w:rsidRPr="00633B89">
              <w:rPr>
                <w:rFonts w:cs="Arial"/>
                <w:b/>
                <w:bCs/>
                <w:color w:val="000000"/>
                <w:sz w:val="20"/>
                <w:szCs w:val="20"/>
              </w:rPr>
              <w:t>581,370</w:t>
            </w:r>
          </w:p>
        </w:tc>
        <w:tc>
          <w:tcPr>
            <w:tcW w:w="1400" w:type="dxa"/>
            <w:tcBorders>
              <w:top w:val="nil"/>
              <w:left w:val="nil"/>
              <w:bottom w:val="nil"/>
              <w:right w:val="nil"/>
            </w:tcBorders>
            <w:noWrap/>
            <w:vAlign w:val="bottom"/>
          </w:tcPr>
          <w:p w:rsidR="00B83890" w:rsidRPr="00633B89" w:rsidRDefault="00B83890" w:rsidP="006E6DC8">
            <w:pPr>
              <w:jc w:val="right"/>
              <w:rPr>
                <w:rFonts w:cs="Arial"/>
                <w:b/>
                <w:bCs/>
                <w:color w:val="000000"/>
                <w:sz w:val="20"/>
                <w:szCs w:val="20"/>
              </w:rPr>
            </w:pPr>
            <w:r w:rsidRPr="00633B89">
              <w:rPr>
                <w:rFonts w:cs="Arial"/>
                <w:b/>
                <w:bCs/>
                <w:color w:val="000000"/>
                <w:sz w:val="20"/>
                <w:szCs w:val="20"/>
              </w:rPr>
              <w:t>1,059,688</w:t>
            </w:r>
          </w:p>
        </w:tc>
      </w:tr>
      <w:tr w:rsidR="00B83890" w:rsidRPr="00633B89" w:rsidTr="006E6DC8">
        <w:trPr>
          <w:trHeight w:val="255"/>
        </w:trPr>
        <w:tc>
          <w:tcPr>
            <w:tcW w:w="3984" w:type="dxa"/>
            <w:tcBorders>
              <w:top w:val="nil"/>
              <w:left w:val="nil"/>
              <w:bottom w:val="nil"/>
              <w:right w:val="nil"/>
            </w:tcBorders>
            <w:noWrap/>
            <w:vAlign w:val="bottom"/>
          </w:tcPr>
          <w:p w:rsidR="00B83890" w:rsidRPr="00633B89" w:rsidRDefault="00B83890" w:rsidP="006E6DC8">
            <w:pPr>
              <w:rPr>
                <w:rFonts w:cs="Arial"/>
                <w:sz w:val="20"/>
                <w:szCs w:val="20"/>
              </w:rPr>
            </w:pPr>
            <w:r w:rsidRPr="00633B89">
              <w:rPr>
                <w:rFonts w:cs="Arial"/>
                <w:sz w:val="20"/>
                <w:szCs w:val="20"/>
              </w:rPr>
              <w:t>Net result for the year</w:t>
            </w:r>
          </w:p>
        </w:tc>
        <w:tc>
          <w:tcPr>
            <w:tcW w:w="760" w:type="dxa"/>
            <w:tcBorders>
              <w:top w:val="nil"/>
              <w:left w:val="nil"/>
              <w:bottom w:val="nil"/>
              <w:right w:val="nil"/>
            </w:tcBorders>
            <w:noWrap/>
            <w:vAlign w:val="bottom"/>
          </w:tcPr>
          <w:p w:rsidR="00B83890" w:rsidRPr="00633B89" w:rsidRDefault="00B83890" w:rsidP="006E6DC8">
            <w:pPr>
              <w:rPr>
                <w:rFonts w:cs="Arial"/>
                <w:b/>
                <w:bCs/>
                <w:sz w:val="20"/>
                <w:szCs w:val="20"/>
              </w:rPr>
            </w:pPr>
          </w:p>
        </w:tc>
        <w:tc>
          <w:tcPr>
            <w:tcW w:w="1400" w:type="dxa"/>
            <w:tcBorders>
              <w:top w:val="nil"/>
              <w:left w:val="nil"/>
              <w:bottom w:val="nil"/>
              <w:right w:val="nil"/>
            </w:tcBorders>
            <w:noWrap/>
            <w:vAlign w:val="bottom"/>
          </w:tcPr>
          <w:p w:rsidR="00B83890" w:rsidRPr="00633B89" w:rsidRDefault="00B83890" w:rsidP="006E6DC8">
            <w:pPr>
              <w:spacing w:before="60"/>
              <w:jc w:val="right"/>
              <w:rPr>
                <w:rFonts w:cs="Arial"/>
                <w:color w:val="000000"/>
                <w:sz w:val="20"/>
                <w:szCs w:val="20"/>
              </w:rPr>
            </w:pPr>
            <w:r w:rsidRPr="00633B89">
              <w:rPr>
                <w:rFonts w:cs="Arial"/>
                <w:color w:val="000000"/>
                <w:sz w:val="20"/>
                <w:szCs w:val="20"/>
              </w:rPr>
              <w:t>0</w:t>
            </w:r>
          </w:p>
        </w:tc>
        <w:tc>
          <w:tcPr>
            <w:tcW w:w="1572" w:type="dxa"/>
            <w:tcBorders>
              <w:top w:val="nil"/>
              <w:left w:val="nil"/>
              <w:bottom w:val="nil"/>
              <w:right w:val="nil"/>
            </w:tcBorders>
            <w:noWrap/>
            <w:vAlign w:val="bottom"/>
          </w:tcPr>
          <w:p w:rsidR="00B83890" w:rsidRPr="00633B89" w:rsidRDefault="00B83890" w:rsidP="006E6DC8">
            <w:pPr>
              <w:spacing w:before="60"/>
              <w:jc w:val="right"/>
              <w:rPr>
                <w:rFonts w:cs="Arial"/>
                <w:color w:val="000000"/>
                <w:sz w:val="20"/>
                <w:szCs w:val="20"/>
              </w:rPr>
            </w:pPr>
            <w:r w:rsidRPr="00633B89">
              <w:rPr>
                <w:rFonts w:cs="Arial"/>
                <w:color w:val="000000"/>
                <w:sz w:val="20"/>
                <w:szCs w:val="20"/>
              </w:rPr>
              <w:t>(12,603)</w:t>
            </w:r>
          </w:p>
        </w:tc>
        <w:tc>
          <w:tcPr>
            <w:tcW w:w="1400" w:type="dxa"/>
            <w:tcBorders>
              <w:top w:val="nil"/>
              <w:left w:val="nil"/>
              <w:bottom w:val="nil"/>
              <w:right w:val="nil"/>
            </w:tcBorders>
            <w:noWrap/>
            <w:vAlign w:val="bottom"/>
          </w:tcPr>
          <w:p w:rsidR="00B83890" w:rsidRPr="00633B89" w:rsidRDefault="00B83890" w:rsidP="006E6DC8">
            <w:pPr>
              <w:spacing w:before="60"/>
              <w:jc w:val="right"/>
              <w:rPr>
                <w:rFonts w:cs="Arial"/>
                <w:color w:val="000000"/>
                <w:sz w:val="20"/>
                <w:szCs w:val="20"/>
              </w:rPr>
            </w:pPr>
            <w:r w:rsidRPr="00633B89">
              <w:rPr>
                <w:rFonts w:cs="Arial"/>
                <w:color w:val="000000"/>
                <w:sz w:val="20"/>
                <w:szCs w:val="20"/>
              </w:rPr>
              <w:t>0</w:t>
            </w:r>
          </w:p>
        </w:tc>
        <w:tc>
          <w:tcPr>
            <w:tcW w:w="1400" w:type="dxa"/>
            <w:tcBorders>
              <w:top w:val="nil"/>
              <w:left w:val="nil"/>
              <w:bottom w:val="nil"/>
              <w:right w:val="nil"/>
            </w:tcBorders>
            <w:noWrap/>
            <w:vAlign w:val="bottom"/>
          </w:tcPr>
          <w:p w:rsidR="00B83890" w:rsidRPr="00633B89" w:rsidRDefault="00B83890" w:rsidP="006E6DC8">
            <w:pPr>
              <w:spacing w:before="60"/>
              <w:jc w:val="right"/>
              <w:rPr>
                <w:rFonts w:cs="Arial"/>
                <w:color w:val="000000"/>
                <w:sz w:val="20"/>
                <w:szCs w:val="20"/>
              </w:rPr>
            </w:pPr>
            <w:r w:rsidRPr="00633B89">
              <w:rPr>
                <w:rFonts w:cs="Arial"/>
                <w:color w:val="000000"/>
                <w:sz w:val="20"/>
                <w:szCs w:val="20"/>
              </w:rPr>
              <w:t>0</w:t>
            </w:r>
          </w:p>
        </w:tc>
        <w:tc>
          <w:tcPr>
            <w:tcW w:w="1400" w:type="dxa"/>
            <w:tcBorders>
              <w:top w:val="nil"/>
              <w:left w:val="nil"/>
              <w:bottom w:val="nil"/>
              <w:right w:val="nil"/>
            </w:tcBorders>
            <w:noWrap/>
            <w:vAlign w:val="bottom"/>
          </w:tcPr>
          <w:p w:rsidR="00B83890" w:rsidRPr="00633B89" w:rsidRDefault="00B83890" w:rsidP="006E6DC8">
            <w:pPr>
              <w:spacing w:before="60"/>
              <w:jc w:val="right"/>
              <w:rPr>
                <w:rFonts w:cs="Arial"/>
                <w:color w:val="000000"/>
                <w:sz w:val="20"/>
                <w:szCs w:val="20"/>
              </w:rPr>
            </w:pPr>
            <w:r w:rsidRPr="00633B89">
              <w:rPr>
                <w:rFonts w:cs="Arial"/>
                <w:color w:val="000000"/>
                <w:sz w:val="20"/>
                <w:szCs w:val="20"/>
              </w:rPr>
              <w:t>0</w:t>
            </w:r>
          </w:p>
        </w:tc>
        <w:tc>
          <w:tcPr>
            <w:tcW w:w="1400" w:type="dxa"/>
            <w:tcBorders>
              <w:top w:val="nil"/>
              <w:left w:val="nil"/>
              <w:bottom w:val="nil"/>
              <w:right w:val="nil"/>
            </w:tcBorders>
            <w:noWrap/>
            <w:vAlign w:val="bottom"/>
          </w:tcPr>
          <w:p w:rsidR="00B83890" w:rsidRPr="00633B89" w:rsidRDefault="00B83890" w:rsidP="006E6DC8">
            <w:pPr>
              <w:spacing w:before="60"/>
              <w:jc w:val="right"/>
              <w:rPr>
                <w:rFonts w:cs="Arial"/>
                <w:color w:val="000000"/>
                <w:sz w:val="20"/>
                <w:szCs w:val="20"/>
              </w:rPr>
            </w:pPr>
            <w:r w:rsidRPr="00633B89">
              <w:rPr>
                <w:rFonts w:cs="Arial"/>
                <w:color w:val="000000"/>
                <w:sz w:val="20"/>
                <w:szCs w:val="20"/>
              </w:rPr>
              <w:t>(12,603)</w:t>
            </w:r>
          </w:p>
        </w:tc>
      </w:tr>
      <w:tr w:rsidR="00B83890" w:rsidRPr="00633B89" w:rsidTr="006E6DC8">
        <w:trPr>
          <w:trHeight w:val="255"/>
        </w:trPr>
        <w:tc>
          <w:tcPr>
            <w:tcW w:w="3984" w:type="dxa"/>
            <w:tcBorders>
              <w:top w:val="nil"/>
              <w:left w:val="nil"/>
              <w:bottom w:val="nil"/>
              <w:right w:val="nil"/>
            </w:tcBorders>
            <w:noWrap/>
            <w:vAlign w:val="bottom"/>
          </w:tcPr>
          <w:p w:rsidR="00B83890" w:rsidRPr="00633B89" w:rsidRDefault="00B83890" w:rsidP="006E6DC8">
            <w:pPr>
              <w:rPr>
                <w:rFonts w:cs="Arial"/>
                <w:sz w:val="20"/>
                <w:szCs w:val="20"/>
              </w:rPr>
            </w:pPr>
            <w:r w:rsidRPr="00633B89">
              <w:rPr>
                <w:rFonts w:cs="Arial"/>
                <w:sz w:val="20"/>
                <w:szCs w:val="20"/>
              </w:rPr>
              <w:t>Other comprehensive income for the year</w:t>
            </w:r>
          </w:p>
        </w:tc>
        <w:tc>
          <w:tcPr>
            <w:tcW w:w="760" w:type="dxa"/>
            <w:tcBorders>
              <w:top w:val="nil"/>
              <w:left w:val="nil"/>
              <w:bottom w:val="nil"/>
              <w:right w:val="nil"/>
            </w:tcBorders>
            <w:noWrap/>
            <w:vAlign w:val="bottom"/>
          </w:tcPr>
          <w:p w:rsidR="00B83890" w:rsidRPr="00633B89" w:rsidRDefault="00B83890" w:rsidP="006E6DC8">
            <w:pPr>
              <w:jc w:val="center"/>
              <w:rPr>
                <w:rFonts w:cs="Arial"/>
                <w:b/>
                <w:bCs/>
                <w:sz w:val="20"/>
                <w:szCs w:val="20"/>
              </w:rPr>
            </w:pPr>
          </w:p>
        </w:tc>
        <w:tc>
          <w:tcPr>
            <w:tcW w:w="1400"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0</w:t>
            </w:r>
          </w:p>
        </w:tc>
        <w:tc>
          <w:tcPr>
            <w:tcW w:w="1572"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0</w:t>
            </w:r>
          </w:p>
        </w:tc>
        <w:tc>
          <w:tcPr>
            <w:tcW w:w="1400"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0</w:t>
            </w:r>
          </w:p>
        </w:tc>
        <w:tc>
          <w:tcPr>
            <w:tcW w:w="1400"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0</w:t>
            </w:r>
          </w:p>
        </w:tc>
        <w:tc>
          <w:tcPr>
            <w:tcW w:w="1400"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0</w:t>
            </w:r>
          </w:p>
        </w:tc>
        <w:tc>
          <w:tcPr>
            <w:tcW w:w="1400"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0</w:t>
            </w:r>
          </w:p>
        </w:tc>
      </w:tr>
      <w:tr w:rsidR="00B83890" w:rsidRPr="00633B89" w:rsidTr="006E6DC8">
        <w:trPr>
          <w:trHeight w:val="255"/>
        </w:trPr>
        <w:tc>
          <w:tcPr>
            <w:tcW w:w="3984" w:type="dxa"/>
            <w:tcBorders>
              <w:top w:val="nil"/>
              <w:left w:val="nil"/>
              <w:bottom w:val="nil"/>
              <w:right w:val="nil"/>
            </w:tcBorders>
            <w:noWrap/>
            <w:vAlign w:val="bottom"/>
          </w:tcPr>
          <w:p w:rsidR="00B83890" w:rsidRPr="00633B89" w:rsidRDefault="00B83890" w:rsidP="006E6DC8">
            <w:pPr>
              <w:rPr>
                <w:rFonts w:cs="Arial"/>
                <w:sz w:val="20"/>
                <w:szCs w:val="20"/>
              </w:rPr>
            </w:pPr>
            <w:r w:rsidRPr="00633B89">
              <w:rPr>
                <w:rFonts w:cs="Arial"/>
                <w:sz w:val="20"/>
                <w:szCs w:val="20"/>
              </w:rPr>
              <w:t>Transfer (to)/from Accumulated Deficit</w:t>
            </w:r>
          </w:p>
        </w:tc>
        <w:tc>
          <w:tcPr>
            <w:tcW w:w="760" w:type="dxa"/>
            <w:tcBorders>
              <w:top w:val="nil"/>
              <w:left w:val="nil"/>
              <w:bottom w:val="nil"/>
              <w:right w:val="nil"/>
            </w:tcBorders>
            <w:noWrap/>
            <w:vAlign w:val="bottom"/>
          </w:tcPr>
          <w:p w:rsidR="00B83890" w:rsidRPr="00633B89" w:rsidRDefault="00B83890" w:rsidP="006E6DC8">
            <w:pPr>
              <w:jc w:val="center"/>
              <w:rPr>
                <w:rFonts w:cs="Arial"/>
                <w:b/>
                <w:bCs/>
                <w:sz w:val="20"/>
                <w:szCs w:val="20"/>
              </w:rPr>
            </w:pPr>
            <w:r w:rsidRPr="00633B89">
              <w:rPr>
                <w:rFonts w:cs="Arial"/>
                <w:b/>
                <w:bCs/>
                <w:sz w:val="20"/>
                <w:szCs w:val="20"/>
              </w:rPr>
              <w:t>13(c)</w:t>
            </w:r>
          </w:p>
        </w:tc>
        <w:tc>
          <w:tcPr>
            <w:tcW w:w="1400"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0</w:t>
            </w:r>
          </w:p>
        </w:tc>
        <w:tc>
          <w:tcPr>
            <w:tcW w:w="1572"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(393)</w:t>
            </w:r>
          </w:p>
        </w:tc>
        <w:tc>
          <w:tcPr>
            <w:tcW w:w="1400"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1,177</w:t>
            </w:r>
          </w:p>
        </w:tc>
        <w:tc>
          <w:tcPr>
            <w:tcW w:w="1400"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(784)</w:t>
            </w:r>
          </w:p>
        </w:tc>
        <w:tc>
          <w:tcPr>
            <w:tcW w:w="1400"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0</w:t>
            </w:r>
          </w:p>
        </w:tc>
        <w:tc>
          <w:tcPr>
            <w:tcW w:w="1400"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0</w:t>
            </w:r>
          </w:p>
        </w:tc>
      </w:tr>
      <w:tr w:rsidR="00B83890" w:rsidRPr="00633B89" w:rsidTr="006E6DC8">
        <w:trPr>
          <w:trHeight w:val="322"/>
        </w:trPr>
        <w:tc>
          <w:tcPr>
            <w:tcW w:w="3984" w:type="dxa"/>
            <w:tcBorders>
              <w:top w:val="single" w:sz="4" w:space="0" w:color="auto"/>
              <w:left w:val="nil"/>
              <w:bottom w:val="single" w:sz="4" w:space="0" w:color="auto"/>
              <w:right w:val="nil"/>
            </w:tcBorders>
            <w:noWrap/>
            <w:vAlign w:val="bottom"/>
          </w:tcPr>
          <w:p w:rsidR="00B83890" w:rsidRPr="00633B89" w:rsidRDefault="00B83890" w:rsidP="006E6DC8">
            <w:pPr>
              <w:rPr>
                <w:rFonts w:cs="Arial"/>
                <w:b/>
                <w:bCs/>
                <w:sz w:val="20"/>
                <w:szCs w:val="20"/>
              </w:rPr>
            </w:pPr>
            <w:r w:rsidRPr="00633B89">
              <w:rPr>
                <w:rFonts w:cs="Arial"/>
                <w:b/>
                <w:bCs/>
                <w:sz w:val="20"/>
                <w:szCs w:val="20"/>
              </w:rPr>
              <w:t>Balance at 30 June 2012</w:t>
            </w:r>
          </w:p>
        </w:tc>
        <w:tc>
          <w:tcPr>
            <w:tcW w:w="760" w:type="dxa"/>
            <w:tcBorders>
              <w:top w:val="single" w:sz="4" w:space="0" w:color="auto"/>
              <w:left w:val="nil"/>
              <w:bottom w:val="single" w:sz="4" w:space="0" w:color="auto"/>
              <w:right w:val="nil"/>
            </w:tcBorders>
            <w:noWrap/>
            <w:vAlign w:val="bottom"/>
          </w:tcPr>
          <w:p w:rsidR="00B83890" w:rsidRPr="00633B89" w:rsidRDefault="00B83890" w:rsidP="006E6DC8">
            <w:pPr>
              <w:rPr>
                <w:rFonts w:cs="Arial"/>
                <w:b/>
                <w:bCs/>
                <w:sz w:val="20"/>
                <w:szCs w:val="20"/>
              </w:rPr>
            </w:pPr>
            <w:r w:rsidRPr="00633B89">
              <w:rPr>
                <w:rFonts w:cs="Arial"/>
                <w:b/>
                <w:bCs/>
                <w:sz w:val="20"/>
                <w:szCs w:val="20"/>
              </w:rPr>
              <w:t> </w:t>
            </w:r>
          </w:p>
        </w:tc>
        <w:tc>
          <w:tcPr>
            <w:tcW w:w="1400" w:type="dxa"/>
            <w:tcBorders>
              <w:top w:val="single" w:sz="4" w:space="0" w:color="auto"/>
              <w:left w:val="nil"/>
              <w:bottom w:val="single" w:sz="4" w:space="0" w:color="auto"/>
              <w:right w:val="nil"/>
            </w:tcBorders>
            <w:noWrap/>
            <w:vAlign w:val="bottom"/>
          </w:tcPr>
          <w:p w:rsidR="00B83890" w:rsidRPr="00633B89" w:rsidRDefault="00B83890" w:rsidP="006E6DC8">
            <w:pPr>
              <w:jc w:val="right"/>
              <w:rPr>
                <w:rFonts w:cs="Arial"/>
                <w:b/>
                <w:bCs/>
                <w:color w:val="000000"/>
                <w:sz w:val="20"/>
                <w:szCs w:val="20"/>
              </w:rPr>
            </w:pPr>
            <w:r w:rsidRPr="00633B89">
              <w:rPr>
                <w:rFonts w:cs="Arial"/>
                <w:b/>
                <w:bCs/>
                <w:color w:val="000000"/>
                <w:sz w:val="20"/>
                <w:szCs w:val="20"/>
              </w:rPr>
              <w:t>545,888</w:t>
            </w:r>
          </w:p>
        </w:tc>
        <w:tc>
          <w:tcPr>
            <w:tcW w:w="1572" w:type="dxa"/>
            <w:tcBorders>
              <w:top w:val="single" w:sz="4" w:space="0" w:color="auto"/>
              <w:left w:val="nil"/>
              <w:bottom w:val="single" w:sz="4" w:space="0" w:color="auto"/>
              <w:right w:val="nil"/>
            </w:tcBorders>
            <w:noWrap/>
            <w:vAlign w:val="bottom"/>
          </w:tcPr>
          <w:p w:rsidR="00B83890" w:rsidRPr="00633B89" w:rsidRDefault="00B83890" w:rsidP="006E6DC8">
            <w:pPr>
              <w:jc w:val="right"/>
              <w:rPr>
                <w:rFonts w:cs="Arial"/>
                <w:b/>
                <w:bCs/>
                <w:color w:val="000000"/>
                <w:sz w:val="20"/>
                <w:szCs w:val="20"/>
              </w:rPr>
            </w:pPr>
            <w:r w:rsidRPr="00633B89">
              <w:rPr>
                <w:rFonts w:cs="Arial"/>
                <w:b/>
                <w:bCs/>
                <w:color w:val="000000"/>
                <w:sz w:val="20"/>
                <w:szCs w:val="20"/>
              </w:rPr>
              <w:t>(95,987)</w:t>
            </w:r>
          </w:p>
        </w:tc>
        <w:tc>
          <w:tcPr>
            <w:tcW w:w="1400" w:type="dxa"/>
            <w:tcBorders>
              <w:top w:val="single" w:sz="4" w:space="0" w:color="auto"/>
              <w:left w:val="nil"/>
              <w:bottom w:val="single" w:sz="4" w:space="0" w:color="auto"/>
              <w:right w:val="nil"/>
            </w:tcBorders>
            <w:noWrap/>
            <w:vAlign w:val="bottom"/>
          </w:tcPr>
          <w:p w:rsidR="00B83890" w:rsidRPr="00633B89" w:rsidRDefault="00B83890" w:rsidP="006E6DC8">
            <w:pPr>
              <w:jc w:val="right"/>
              <w:rPr>
                <w:rFonts w:cs="Arial"/>
                <w:b/>
                <w:bCs/>
                <w:color w:val="000000"/>
                <w:sz w:val="20"/>
                <w:szCs w:val="20"/>
              </w:rPr>
            </w:pPr>
            <w:r w:rsidRPr="00633B89">
              <w:rPr>
                <w:rFonts w:cs="Arial"/>
                <w:b/>
                <w:bCs/>
                <w:color w:val="000000"/>
                <w:sz w:val="20"/>
                <w:szCs w:val="20"/>
              </w:rPr>
              <w:t>8,445</w:t>
            </w:r>
          </w:p>
        </w:tc>
        <w:tc>
          <w:tcPr>
            <w:tcW w:w="1400" w:type="dxa"/>
            <w:tcBorders>
              <w:top w:val="single" w:sz="4" w:space="0" w:color="auto"/>
              <w:left w:val="nil"/>
              <w:bottom w:val="single" w:sz="4" w:space="0" w:color="auto"/>
              <w:right w:val="nil"/>
            </w:tcBorders>
            <w:noWrap/>
            <w:vAlign w:val="bottom"/>
          </w:tcPr>
          <w:p w:rsidR="00B83890" w:rsidRPr="00633B89" w:rsidRDefault="00B83890" w:rsidP="006E6DC8">
            <w:pPr>
              <w:jc w:val="right"/>
              <w:rPr>
                <w:rFonts w:cs="Arial"/>
                <w:b/>
                <w:bCs/>
                <w:color w:val="000000"/>
                <w:sz w:val="20"/>
                <w:szCs w:val="20"/>
              </w:rPr>
            </w:pPr>
            <w:r w:rsidRPr="00633B89">
              <w:rPr>
                <w:rFonts w:cs="Arial"/>
                <w:b/>
                <w:bCs/>
                <w:color w:val="000000"/>
                <w:sz w:val="20"/>
                <w:szCs w:val="20"/>
              </w:rPr>
              <w:t>7,369</w:t>
            </w:r>
          </w:p>
        </w:tc>
        <w:tc>
          <w:tcPr>
            <w:tcW w:w="1400" w:type="dxa"/>
            <w:tcBorders>
              <w:top w:val="single" w:sz="4" w:space="0" w:color="auto"/>
              <w:left w:val="nil"/>
              <w:bottom w:val="single" w:sz="4" w:space="0" w:color="auto"/>
              <w:right w:val="nil"/>
            </w:tcBorders>
            <w:noWrap/>
            <w:vAlign w:val="bottom"/>
          </w:tcPr>
          <w:p w:rsidR="00B83890" w:rsidRPr="00633B89" w:rsidRDefault="00B83890" w:rsidP="006E6DC8">
            <w:pPr>
              <w:jc w:val="right"/>
              <w:rPr>
                <w:rFonts w:cs="Arial"/>
                <w:b/>
                <w:bCs/>
                <w:color w:val="000000"/>
                <w:sz w:val="20"/>
                <w:szCs w:val="20"/>
              </w:rPr>
            </w:pPr>
            <w:r w:rsidRPr="00633B89">
              <w:rPr>
                <w:rFonts w:cs="Arial"/>
                <w:b/>
                <w:bCs/>
                <w:color w:val="000000"/>
                <w:sz w:val="20"/>
                <w:szCs w:val="20"/>
              </w:rPr>
              <w:t>581,370</w:t>
            </w:r>
          </w:p>
        </w:tc>
        <w:tc>
          <w:tcPr>
            <w:tcW w:w="1400" w:type="dxa"/>
            <w:tcBorders>
              <w:top w:val="single" w:sz="4" w:space="0" w:color="auto"/>
              <w:left w:val="nil"/>
              <w:bottom w:val="single" w:sz="4" w:space="0" w:color="auto"/>
              <w:right w:val="nil"/>
            </w:tcBorders>
            <w:noWrap/>
            <w:vAlign w:val="bottom"/>
          </w:tcPr>
          <w:p w:rsidR="00B83890" w:rsidRPr="00633B89" w:rsidRDefault="00B83890" w:rsidP="006E6DC8">
            <w:pPr>
              <w:jc w:val="right"/>
              <w:rPr>
                <w:rFonts w:cs="Arial"/>
                <w:b/>
                <w:bCs/>
                <w:color w:val="000000"/>
                <w:sz w:val="20"/>
                <w:szCs w:val="20"/>
              </w:rPr>
            </w:pPr>
            <w:r w:rsidRPr="00633B89">
              <w:rPr>
                <w:rFonts w:cs="Arial"/>
                <w:b/>
                <w:bCs/>
                <w:color w:val="000000"/>
                <w:sz w:val="20"/>
                <w:szCs w:val="20"/>
              </w:rPr>
              <w:t>1,047,085</w:t>
            </w:r>
          </w:p>
        </w:tc>
      </w:tr>
      <w:tr w:rsidR="00B83890" w:rsidRPr="00633B89" w:rsidTr="006E6DC8">
        <w:trPr>
          <w:trHeight w:val="255"/>
        </w:trPr>
        <w:tc>
          <w:tcPr>
            <w:tcW w:w="3984" w:type="dxa"/>
            <w:tcBorders>
              <w:top w:val="nil"/>
              <w:left w:val="nil"/>
              <w:bottom w:val="nil"/>
              <w:right w:val="nil"/>
            </w:tcBorders>
            <w:noWrap/>
            <w:vAlign w:val="bottom"/>
          </w:tcPr>
          <w:p w:rsidR="00B83890" w:rsidRPr="00633B89" w:rsidRDefault="00B83890" w:rsidP="006E6DC8">
            <w:pPr>
              <w:spacing w:before="60"/>
              <w:rPr>
                <w:rFonts w:cs="Arial"/>
                <w:sz w:val="20"/>
                <w:szCs w:val="20"/>
              </w:rPr>
            </w:pPr>
            <w:r w:rsidRPr="00633B89">
              <w:rPr>
                <w:rFonts w:cs="Arial"/>
                <w:sz w:val="20"/>
                <w:szCs w:val="20"/>
              </w:rPr>
              <w:t>Net result for the year</w:t>
            </w:r>
          </w:p>
        </w:tc>
        <w:tc>
          <w:tcPr>
            <w:tcW w:w="760" w:type="dxa"/>
            <w:tcBorders>
              <w:top w:val="nil"/>
              <w:left w:val="nil"/>
              <w:bottom w:val="nil"/>
              <w:right w:val="nil"/>
            </w:tcBorders>
            <w:noWrap/>
            <w:vAlign w:val="bottom"/>
          </w:tcPr>
          <w:p w:rsidR="00B83890" w:rsidRPr="00633B89" w:rsidRDefault="00B83890" w:rsidP="006E6DC8">
            <w:pPr>
              <w:spacing w:before="60"/>
              <w:rPr>
                <w:rFonts w:cs="Arial"/>
                <w:b/>
                <w:bCs/>
                <w:sz w:val="20"/>
                <w:szCs w:val="20"/>
              </w:rPr>
            </w:pPr>
          </w:p>
        </w:tc>
        <w:tc>
          <w:tcPr>
            <w:tcW w:w="1400" w:type="dxa"/>
            <w:tcBorders>
              <w:top w:val="nil"/>
              <w:left w:val="nil"/>
              <w:bottom w:val="nil"/>
              <w:right w:val="nil"/>
            </w:tcBorders>
            <w:noWrap/>
            <w:vAlign w:val="bottom"/>
          </w:tcPr>
          <w:p w:rsidR="00B83890" w:rsidRPr="00633B89" w:rsidRDefault="00B83890" w:rsidP="006E6DC8">
            <w:pPr>
              <w:spacing w:before="60"/>
              <w:jc w:val="right"/>
              <w:rPr>
                <w:rFonts w:cs="Arial"/>
                <w:color w:val="000000"/>
                <w:sz w:val="20"/>
                <w:szCs w:val="20"/>
              </w:rPr>
            </w:pPr>
            <w:r w:rsidRPr="00633B89">
              <w:rPr>
                <w:rFonts w:cs="Arial"/>
                <w:color w:val="000000"/>
                <w:sz w:val="20"/>
                <w:szCs w:val="20"/>
              </w:rPr>
              <w:t>0</w:t>
            </w:r>
          </w:p>
        </w:tc>
        <w:tc>
          <w:tcPr>
            <w:tcW w:w="1572" w:type="dxa"/>
            <w:tcBorders>
              <w:top w:val="nil"/>
              <w:left w:val="nil"/>
              <w:bottom w:val="nil"/>
              <w:right w:val="nil"/>
            </w:tcBorders>
            <w:noWrap/>
            <w:vAlign w:val="bottom"/>
          </w:tcPr>
          <w:p w:rsidR="00B83890" w:rsidRPr="00633B89" w:rsidRDefault="00B83890" w:rsidP="006E6DC8">
            <w:pPr>
              <w:spacing w:before="60"/>
              <w:jc w:val="right"/>
              <w:rPr>
                <w:rFonts w:cs="Arial"/>
                <w:color w:val="000000"/>
                <w:sz w:val="20"/>
                <w:szCs w:val="20"/>
              </w:rPr>
            </w:pPr>
            <w:r w:rsidRPr="00633B89">
              <w:rPr>
                <w:rFonts w:cs="Arial"/>
                <w:color w:val="000000"/>
                <w:sz w:val="20"/>
                <w:szCs w:val="20"/>
              </w:rPr>
              <w:t>(18,271)</w:t>
            </w:r>
          </w:p>
        </w:tc>
        <w:tc>
          <w:tcPr>
            <w:tcW w:w="1400" w:type="dxa"/>
            <w:tcBorders>
              <w:top w:val="nil"/>
              <w:left w:val="nil"/>
              <w:bottom w:val="nil"/>
              <w:right w:val="nil"/>
            </w:tcBorders>
            <w:noWrap/>
            <w:vAlign w:val="bottom"/>
          </w:tcPr>
          <w:p w:rsidR="00B83890" w:rsidRPr="00633B89" w:rsidRDefault="00B83890" w:rsidP="006E6DC8">
            <w:pPr>
              <w:spacing w:before="60"/>
              <w:jc w:val="right"/>
              <w:rPr>
                <w:rFonts w:cs="Arial"/>
                <w:color w:val="000000"/>
                <w:sz w:val="20"/>
                <w:szCs w:val="20"/>
              </w:rPr>
            </w:pPr>
            <w:r w:rsidRPr="00633B89">
              <w:rPr>
                <w:rFonts w:cs="Arial"/>
                <w:color w:val="000000"/>
                <w:sz w:val="20"/>
                <w:szCs w:val="20"/>
              </w:rPr>
              <w:t>0</w:t>
            </w:r>
          </w:p>
        </w:tc>
        <w:tc>
          <w:tcPr>
            <w:tcW w:w="1400" w:type="dxa"/>
            <w:tcBorders>
              <w:top w:val="nil"/>
              <w:left w:val="nil"/>
              <w:bottom w:val="nil"/>
              <w:right w:val="nil"/>
            </w:tcBorders>
            <w:noWrap/>
            <w:vAlign w:val="bottom"/>
          </w:tcPr>
          <w:p w:rsidR="00B83890" w:rsidRPr="00633B89" w:rsidRDefault="00B83890" w:rsidP="006E6DC8">
            <w:pPr>
              <w:spacing w:before="60"/>
              <w:jc w:val="right"/>
              <w:rPr>
                <w:rFonts w:cs="Arial"/>
                <w:color w:val="000000"/>
                <w:sz w:val="20"/>
                <w:szCs w:val="20"/>
              </w:rPr>
            </w:pPr>
            <w:r w:rsidRPr="00633B89">
              <w:rPr>
                <w:rFonts w:cs="Arial"/>
                <w:color w:val="000000"/>
                <w:sz w:val="20"/>
                <w:szCs w:val="20"/>
              </w:rPr>
              <w:t>0</w:t>
            </w:r>
          </w:p>
        </w:tc>
        <w:tc>
          <w:tcPr>
            <w:tcW w:w="1400" w:type="dxa"/>
            <w:tcBorders>
              <w:top w:val="nil"/>
              <w:left w:val="nil"/>
              <w:bottom w:val="nil"/>
              <w:right w:val="nil"/>
            </w:tcBorders>
            <w:noWrap/>
            <w:vAlign w:val="bottom"/>
          </w:tcPr>
          <w:p w:rsidR="00B83890" w:rsidRPr="00633B89" w:rsidRDefault="00B83890" w:rsidP="006E6DC8">
            <w:pPr>
              <w:spacing w:before="60"/>
              <w:jc w:val="right"/>
              <w:rPr>
                <w:rFonts w:cs="Arial"/>
                <w:color w:val="000000"/>
                <w:sz w:val="20"/>
                <w:szCs w:val="20"/>
              </w:rPr>
            </w:pPr>
            <w:r w:rsidRPr="00633B89">
              <w:rPr>
                <w:rFonts w:cs="Arial"/>
                <w:color w:val="000000"/>
                <w:sz w:val="20"/>
                <w:szCs w:val="20"/>
              </w:rPr>
              <w:t>0</w:t>
            </w:r>
          </w:p>
        </w:tc>
        <w:tc>
          <w:tcPr>
            <w:tcW w:w="1400" w:type="dxa"/>
            <w:tcBorders>
              <w:top w:val="nil"/>
              <w:left w:val="nil"/>
              <w:bottom w:val="nil"/>
              <w:right w:val="nil"/>
            </w:tcBorders>
            <w:noWrap/>
            <w:vAlign w:val="bottom"/>
          </w:tcPr>
          <w:p w:rsidR="00B83890" w:rsidRPr="00633B89" w:rsidRDefault="00B83890" w:rsidP="006E6DC8">
            <w:pPr>
              <w:spacing w:before="60"/>
              <w:jc w:val="right"/>
              <w:rPr>
                <w:rFonts w:cs="Arial"/>
                <w:color w:val="000000"/>
                <w:sz w:val="20"/>
                <w:szCs w:val="20"/>
              </w:rPr>
            </w:pPr>
            <w:r w:rsidRPr="00633B89">
              <w:rPr>
                <w:rFonts w:cs="Arial"/>
                <w:color w:val="000000"/>
                <w:sz w:val="20"/>
                <w:szCs w:val="20"/>
              </w:rPr>
              <w:t>(18,271)</w:t>
            </w:r>
          </w:p>
        </w:tc>
      </w:tr>
      <w:tr w:rsidR="00B83890" w:rsidRPr="00633B89" w:rsidTr="006E6DC8">
        <w:trPr>
          <w:trHeight w:val="255"/>
        </w:trPr>
        <w:tc>
          <w:tcPr>
            <w:tcW w:w="3984" w:type="dxa"/>
            <w:tcBorders>
              <w:top w:val="nil"/>
              <w:left w:val="nil"/>
              <w:bottom w:val="nil"/>
              <w:right w:val="nil"/>
            </w:tcBorders>
            <w:noWrap/>
            <w:vAlign w:val="bottom"/>
          </w:tcPr>
          <w:p w:rsidR="00B83890" w:rsidRPr="00633B89" w:rsidRDefault="00B83890" w:rsidP="006E6DC8">
            <w:pPr>
              <w:rPr>
                <w:rFonts w:cs="Arial"/>
                <w:sz w:val="20"/>
                <w:szCs w:val="20"/>
              </w:rPr>
            </w:pPr>
            <w:r w:rsidRPr="00633B89">
              <w:rPr>
                <w:rFonts w:cs="Arial"/>
                <w:sz w:val="20"/>
                <w:szCs w:val="20"/>
              </w:rPr>
              <w:t>Other comprehensive income for the year</w:t>
            </w:r>
          </w:p>
        </w:tc>
        <w:tc>
          <w:tcPr>
            <w:tcW w:w="760" w:type="dxa"/>
            <w:tcBorders>
              <w:top w:val="nil"/>
              <w:left w:val="nil"/>
              <w:bottom w:val="nil"/>
              <w:right w:val="nil"/>
            </w:tcBorders>
            <w:noWrap/>
            <w:vAlign w:val="bottom"/>
          </w:tcPr>
          <w:p w:rsidR="00B83890" w:rsidRPr="00633B89" w:rsidRDefault="00B83890" w:rsidP="006E6DC8">
            <w:pPr>
              <w:rPr>
                <w:rFonts w:cs="Arial"/>
                <w:b/>
                <w:bCs/>
                <w:sz w:val="20"/>
                <w:szCs w:val="20"/>
              </w:rPr>
            </w:pPr>
          </w:p>
        </w:tc>
        <w:tc>
          <w:tcPr>
            <w:tcW w:w="1400"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0</w:t>
            </w:r>
          </w:p>
        </w:tc>
        <w:tc>
          <w:tcPr>
            <w:tcW w:w="1572"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0</w:t>
            </w:r>
          </w:p>
        </w:tc>
        <w:tc>
          <w:tcPr>
            <w:tcW w:w="1400"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0</w:t>
            </w:r>
          </w:p>
        </w:tc>
        <w:tc>
          <w:tcPr>
            <w:tcW w:w="1400"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0</w:t>
            </w:r>
          </w:p>
        </w:tc>
        <w:tc>
          <w:tcPr>
            <w:tcW w:w="1400"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0</w:t>
            </w:r>
          </w:p>
        </w:tc>
        <w:tc>
          <w:tcPr>
            <w:tcW w:w="1400"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0</w:t>
            </w:r>
          </w:p>
        </w:tc>
      </w:tr>
      <w:tr w:rsidR="00B83890" w:rsidRPr="00633B89" w:rsidTr="006E6DC8">
        <w:trPr>
          <w:trHeight w:val="255"/>
        </w:trPr>
        <w:tc>
          <w:tcPr>
            <w:tcW w:w="3984" w:type="dxa"/>
            <w:tcBorders>
              <w:top w:val="nil"/>
              <w:left w:val="nil"/>
              <w:bottom w:val="nil"/>
              <w:right w:val="nil"/>
            </w:tcBorders>
            <w:noWrap/>
            <w:vAlign w:val="bottom"/>
          </w:tcPr>
          <w:p w:rsidR="00B83890" w:rsidRPr="00633B89" w:rsidRDefault="00B83890" w:rsidP="006E6DC8">
            <w:pPr>
              <w:rPr>
                <w:rFonts w:cs="Arial"/>
                <w:sz w:val="20"/>
                <w:szCs w:val="20"/>
              </w:rPr>
            </w:pPr>
            <w:r w:rsidRPr="00633B89">
              <w:rPr>
                <w:rFonts w:cs="Arial"/>
                <w:sz w:val="20"/>
                <w:szCs w:val="20"/>
              </w:rPr>
              <w:t>Transfer (to)/from Accumulated Deficit</w:t>
            </w:r>
          </w:p>
        </w:tc>
        <w:tc>
          <w:tcPr>
            <w:tcW w:w="760" w:type="dxa"/>
            <w:tcBorders>
              <w:top w:val="nil"/>
              <w:left w:val="nil"/>
              <w:bottom w:val="nil"/>
              <w:right w:val="nil"/>
            </w:tcBorders>
            <w:noWrap/>
            <w:vAlign w:val="bottom"/>
          </w:tcPr>
          <w:p w:rsidR="00B83890" w:rsidRPr="00633B89" w:rsidRDefault="00B83890" w:rsidP="006E6DC8">
            <w:pPr>
              <w:jc w:val="center"/>
              <w:rPr>
                <w:rFonts w:cs="Arial"/>
                <w:b/>
                <w:bCs/>
                <w:sz w:val="20"/>
                <w:szCs w:val="20"/>
              </w:rPr>
            </w:pPr>
            <w:r w:rsidRPr="00633B89">
              <w:rPr>
                <w:rFonts w:cs="Arial"/>
                <w:b/>
                <w:bCs/>
                <w:sz w:val="20"/>
                <w:szCs w:val="20"/>
              </w:rPr>
              <w:t>13(c)</w:t>
            </w:r>
          </w:p>
        </w:tc>
        <w:tc>
          <w:tcPr>
            <w:tcW w:w="1400"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0</w:t>
            </w:r>
          </w:p>
        </w:tc>
        <w:tc>
          <w:tcPr>
            <w:tcW w:w="1572"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195</w:t>
            </w:r>
          </w:p>
        </w:tc>
        <w:tc>
          <w:tcPr>
            <w:tcW w:w="1400"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(628)</w:t>
            </w:r>
          </w:p>
        </w:tc>
        <w:tc>
          <w:tcPr>
            <w:tcW w:w="1400"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433</w:t>
            </w:r>
          </w:p>
        </w:tc>
        <w:tc>
          <w:tcPr>
            <w:tcW w:w="1400"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0</w:t>
            </w:r>
          </w:p>
        </w:tc>
        <w:tc>
          <w:tcPr>
            <w:tcW w:w="1400" w:type="dxa"/>
            <w:tcBorders>
              <w:top w:val="nil"/>
              <w:left w:val="nil"/>
              <w:bottom w:val="nil"/>
              <w:right w:val="nil"/>
            </w:tcBorders>
            <w:noWrap/>
            <w:vAlign w:val="bottom"/>
          </w:tcPr>
          <w:p w:rsidR="00B83890" w:rsidRPr="00633B89" w:rsidRDefault="00B83890" w:rsidP="006E6DC8">
            <w:pPr>
              <w:jc w:val="right"/>
              <w:rPr>
                <w:rFonts w:cs="Arial"/>
                <w:color w:val="000000"/>
                <w:sz w:val="20"/>
                <w:szCs w:val="20"/>
              </w:rPr>
            </w:pPr>
            <w:r w:rsidRPr="00633B89">
              <w:rPr>
                <w:rFonts w:cs="Arial"/>
                <w:color w:val="000000"/>
                <w:sz w:val="20"/>
                <w:szCs w:val="20"/>
              </w:rPr>
              <w:t>0</w:t>
            </w:r>
          </w:p>
        </w:tc>
      </w:tr>
      <w:tr w:rsidR="00B83890" w:rsidRPr="00633B89" w:rsidTr="006E6DC8">
        <w:trPr>
          <w:trHeight w:val="310"/>
        </w:trPr>
        <w:tc>
          <w:tcPr>
            <w:tcW w:w="3984" w:type="dxa"/>
            <w:tcBorders>
              <w:top w:val="single" w:sz="4" w:space="0" w:color="auto"/>
              <w:left w:val="nil"/>
              <w:bottom w:val="single" w:sz="4" w:space="0" w:color="auto"/>
              <w:right w:val="nil"/>
            </w:tcBorders>
            <w:noWrap/>
            <w:vAlign w:val="bottom"/>
          </w:tcPr>
          <w:p w:rsidR="00B83890" w:rsidRPr="00633B89" w:rsidRDefault="00B83890" w:rsidP="006E6DC8">
            <w:pPr>
              <w:rPr>
                <w:rFonts w:cs="Arial"/>
                <w:b/>
                <w:bCs/>
                <w:sz w:val="20"/>
                <w:szCs w:val="20"/>
              </w:rPr>
            </w:pPr>
            <w:r w:rsidRPr="00633B89">
              <w:rPr>
                <w:rFonts w:cs="Arial"/>
                <w:b/>
                <w:bCs/>
                <w:sz w:val="20"/>
                <w:szCs w:val="20"/>
              </w:rPr>
              <w:t>Balance at 30 June 2013</w:t>
            </w:r>
          </w:p>
        </w:tc>
        <w:tc>
          <w:tcPr>
            <w:tcW w:w="760" w:type="dxa"/>
            <w:tcBorders>
              <w:top w:val="single" w:sz="4" w:space="0" w:color="auto"/>
              <w:left w:val="nil"/>
              <w:bottom w:val="single" w:sz="4" w:space="0" w:color="auto"/>
              <w:right w:val="nil"/>
            </w:tcBorders>
            <w:noWrap/>
            <w:vAlign w:val="bottom"/>
          </w:tcPr>
          <w:p w:rsidR="00B83890" w:rsidRPr="00633B89" w:rsidRDefault="00B83890" w:rsidP="006E6DC8">
            <w:pPr>
              <w:rPr>
                <w:rFonts w:cs="Arial"/>
                <w:b/>
                <w:bCs/>
                <w:sz w:val="20"/>
                <w:szCs w:val="20"/>
              </w:rPr>
            </w:pPr>
            <w:r w:rsidRPr="00633B89">
              <w:rPr>
                <w:rFonts w:cs="Arial"/>
                <w:b/>
                <w:bCs/>
                <w:sz w:val="20"/>
                <w:szCs w:val="20"/>
              </w:rPr>
              <w:t> </w:t>
            </w:r>
          </w:p>
        </w:tc>
        <w:tc>
          <w:tcPr>
            <w:tcW w:w="1400" w:type="dxa"/>
            <w:tcBorders>
              <w:top w:val="single" w:sz="4" w:space="0" w:color="auto"/>
              <w:left w:val="nil"/>
              <w:bottom w:val="single" w:sz="4" w:space="0" w:color="auto"/>
              <w:right w:val="nil"/>
            </w:tcBorders>
            <w:noWrap/>
            <w:vAlign w:val="bottom"/>
          </w:tcPr>
          <w:p w:rsidR="00B83890" w:rsidRPr="00633B89" w:rsidRDefault="00B83890" w:rsidP="006E6DC8">
            <w:pPr>
              <w:jc w:val="right"/>
              <w:rPr>
                <w:rFonts w:cs="Arial"/>
                <w:b/>
                <w:bCs/>
                <w:color w:val="000000"/>
                <w:sz w:val="20"/>
                <w:szCs w:val="20"/>
              </w:rPr>
            </w:pPr>
            <w:r w:rsidRPr="00633B89">
              <w:rPr>
                <w:rFonts w:cs="Arial"/>
                <w:b/>
                <w:bCs/>
                <w:color w:val="000000"/>
                <w:sz w:val="20"/>
                <w:szCs w:val="20"/>
              </w:rPr>
              <w:t>545,888</w:t>
            </w:r>
          </w:p>
        </w:tc>
        <w:tc>
          <w:tcPr>
            <w:tcW w:w="1572" w:type="dxa"/>
            <w:tcBorders>
              <w:top w:val="single" w:sz="4" w:space="0" w:color="auto"/>
              <w:left w:val="nil"/>
              <w:bottom w:val="single" w:sz="4" w:space="0" w:color="auto"/>
              <w:right w:val="nil"/>
            </w:tcBorders>
            <w:noWrap/>
            <w:vAlign w:val="bottom"/>
          </w:tcPr>
          <w:p w:rsidR="00B83890" w:rsidRPr="00633B89" w:rsidRDefault="00B83890" w:rsidP="006E6DC8">
            <w:pPr>
              <w:jc w:val="right"/>
              <w:rPr>
                <w:rFonts w:cs="Arial"/>
                <w:b/>
                <w:bCs/>
                <w:color w:val="000000"/>
                <w:sz w:val="20"/>
                <w:szCs w:val="20"/>
              </w:rPr>
            </w:pPr>
            <w:r w:rsidRPr="00633B89">
              <w:rPr>
                <w:rFonts w:cs="Arial"/>
                <w:b/>
                <w:bCs/>
                <w:color w:val="000000"/>
                <w:sz w:val="20"/>
                <w:szCs w:val="20"/>
              </w:rPr>
              <w:t>(114,063)</w:t>
            </w:r>
          </w:p>
        </w:tc>
        <w:tc>
          <w:tcPr>
            <w:tcW w:w="1400" w:type="dxa"/>
            <w:tcBorders>
              <w:top w:val="single" w:sz="4" w:space="0" w:color="auto"/>
              <w:left w:val="nil"/>
              <w:bottom w:val="single" w:sz="4" w:space="0" w:color="auto"/>
              <w:right w:val="nil"/>
            </w:tcBorders>
            <w:noWrap/>
            <w:vAlign w:val="bottom"/>
          </w:tcPr>
          <w:p w:rsidR="00B83890" w:rsidRPr="00633B89" w:rsidRDefault="00B83890" w:rsidP="006E6DC8">
            <w:pPr>
              <w:jc w:val="right"/>
              <w:rPr>
                <w:rFonts w:cs="Arial"/>
                <w:b/>
                <w:bCs/>
                <w:color w:val="000000"/>
                <w:sz w:val="20"/>
                <w:szCs w:val="20"/>
              </w:rPr>
            </w:pPr>
            <w:r w:rsidRPr="00633B89">
              <w:rPr>
                <w:rFonts w:cs="Arial"/>
                <w:b/>
                <w:bCs/>
                <w:color w:val="000000"/>
                <w:sz w:val="20"/>
                <w:szCs w:val="20"/>
              </w:rPr>
              <w:t>7,817</w:t>
            </w:r>
          </w:p>
        </w:tc>
        <w:tc>
          <w:tcPr>
            <w:tcW w:w="1400" w:type="dxa"/>
            <w:tcBorders>
              <w:top w:val="single" w:sz="4" w:space="0" w:color="auto"/>
              <w:left w:val="nil"/>
              <w:bottom w:val="single" w:sz="4" w:space="0" w:color="auto"/>
              <w:right w:val="nil"/>
            </w:tcBorders>
            <w:noWrap/>
            <w:vAlign w:val="bottom"/>
          </w:tcPr>
          <w:p w:rsidR="00B83890" w:rsidRPr="00633B89" w:rsidRDefault="00B83890" w:rsidP="006E6DC8">
            <w:pPr>
              <w:jc w:val="right"/>
              <w:rPr>
                <w:rFonts w:cs="Arial"/>
                <w:b/>
                <w:bCs/>
                <w:color w:val="000000"/>
                <w:sz w:val="20"/>
                <w:szCs w:val="20"/>
              </w:rPr>
            </w:pPr>
            <w:r w:rsidRPr="00633B89">
              <w:rPr>
                <w:rFonts w:cs="Arial"/>
                <w:b/>
                <w:bCs/>
                <w:color w:val="000000"/>
                <w:sz w:val="20"/>
                <w:szCs w:val="20"/>
              </w:rPr>
              <w:t>7,802</w:t>
            </w:r>
          </w:p>
        </w:tc>
        <w:tc>
          <w:tcPr>
            <w:tcW w:w="1400" w:type="dxa"/>
            <w:tcBorders>
              <w:top w:val="single" w:sz="4" w:space="0" w:color="auto"/>
              <w:left w:val="nil"/>
              <w:bottom w:val="single" w:sz="4" w:space="0" w:color="auto"/>
              <w:right w:val="nil"/>
            </w:tcBorders>
            <w:noWrap/>
            <w:vAlign w:val="bottom"/>
          </w:tcPr>
          <w:p w:rsidR="00B83890" w:rsidRPr="00633B89" w:rsidRDefault="00B83890" w:rsidP="006E6DC8">
            <w:pPr>
              <w:jc w:val="right"/>
              <w:rPr>
                <w:rFonts w:cs="Arial"/>
                <w:b/>
                <w:bCs/>
                <w:color w:val="000000"/>
                <w:sz w:val="20"/>
                <w:szCs w:val="20"/>
              </w:rPr>
            </w:pPr>
            <w:r w:rsidRPr="00633B89">
              <w:rPr>
                <w:rFonts w:cs="Arial"/>
                <w:b/>
                <w:bCs/>
                <w:color w:val="000000"/>
                <w:sz w:val="20"/>
                <w:szCs w:val="20"/>
              </w:rPr>
              <w:t>581,370</w:t>
            </w:r>
          </w:p>
        </w:tc>
        <w:tc>
          <w:tcPr>
            <w:tcW w:w="1400" w:type="dxa"/>
            <w:tcBorders>
              <w:top w:val="single" w:sz="4" w:space="0" w:color="auto"/>
              <w:left w:val="nil"/>
              <w:bottom w:val="single" w:sz="4" w:space="0" w:color="auto"/>
              <w:right w:val="nil"/>
            </w:tcBorders>
            <w:noWrap/>
            <w:vAlign w:val="bottom"/>
          </w:tcPr>
          <w:p w:rsidR="00B83890" w:rsidRPr="00633B89" w:rsidRDefault="00B83890" w:rsidP="006E6DC8">
            <w:pPr>
              <w:jc w:val="right"/>
              <w:rPr>
                <w:rFonts w:cs="Arial"/>
                <w:b/>
                <w:bCs/>
                <w:color w:val="000000"/>
                <w:sz w:val="20"/>
                <w:szCs w:val="20"/>
              </w:rPr>
            </w:pPr>
            <w:r w:rsidRPr="00633B89">
              <w:rPr>
                <w:rFonts w:cs="Arial"/>
                <w:b/>
                <w:bCs/>
                <w:color w:val="000000"/>
                <w:sz w:val="20"/>
                <w:szCs w:val="20"/>
              </w:rPr>
              <w:t>1,028,814</w:t>
            </w:r>
          </w:p>
        </w:tc>
      </w:tr>
    </w:tbl>
    <w:p w:rsidR="00B83890" w:rsidRPr="00C21FC7" w:rsidRDefault="00B83890" w:rsidP="00B83890">
      <w:pPr>
        <w:spacing w:before="40"/>
        <w:rPr>
          <w:lang w:val="en-GB"/>
        </w:rPr>
      </w:pPr>
    </w:p>
    <w:p w:rsidR="00B83890" w:rsidRPr="00837BAE" w:rsidRDefault="00B83890" w:rsidP="00B83890">
      <w:pPr>
        <w:spacing w:before="40"/>
        <w:rPr>
          <w:b/>
          <w:lang w:val="en-GB"/>
        </w:rPr>
      </w:pPr>
      <w:r w:rsidRPr="00881CAB">
        <w:rPr>
          <w:b/>
          <w:lang w:val="en-GB"/>
        </w:rPr>
        <w:t>The above Statement of Changes in Equity</w:t>
      </w:r>
      <w:r w:rsidRPr="00837BAE">
        <w:rPr>
          <w:b/>
          <w:lang w:val="en-GB"/>
        </w:rPr>
        <w:t xml:space="preserve"> should be read in conjunction with the accompanying notes. </w:t>
      </w:r>
    </w:p>
    <w:p w:rsidR="00B83890" w:rsidRDefault="00B83890" w:rsidP="00B83890">
      <w:pPr>
        <w:rPr>
          <w:b/>
          <w:lang w:val="en-GB"/>
        </w:rPr>
      </w:pPr>
    </w:p>
    <w:p w:rsidR="00B83890" w:rsidRDefault="00B83890" w:rsidP="00B83890">
      <w:pPr>
        <w:keepNext w:val="0"/>
        <w:outlineLvl w:val="9"/>
        <w:rPr>
          <w:b/>
          <w:sz w:val="32"/>
          <w:szCs w:val="32"/>
        </w:rPr>
        <w:sectPr w:rsidR="00B83890" w:rsidSect="006E6DC8">
          <w:pgSz w:w="16838" w:h="11906" w:orient="landscape"/>
          <w:pgMar w:top="1797" w:right="1440" w:bottom="1797" w:left="1440" w:header="720" w:footer="720" w:gutter="0"/>
          <w:cols w:space="720"/>
          <w:docGrid w:linePitch="360"/>
        </w:sectPr>
      </w:pPr>
    </w:p>
    <w:p w:rsidR="00B83890" w:rsidRPr="008257C8" w:rsidRDefault="00B83890" w:rsidP="00513943">
      <w:pPr>
        <w:pStyle w:val="Heading2"/>
      </w:pPr>
      <w:r w:rsidRPr="008257C8">
        <w:lastRenderedPageBreak/>
        <w:t>Cash Flow Statement for the Financial Year Ended 30 June 2013</w:t>
      </w:r>
    </w:p>
    <w:tbl>
      <w:tblPr>
        <w:tblW w:w="8961" w:type="dxa"/>
        <w:tblBorders>
          <w:top w:val="single" w:sz="4" w:space="0" w:color="auto"/>
          <w:bottom w:val="single" w:sz="4" w:space="0" w:color="auto"/>
        </w:tblBorders>
        <w:tblLayout w:type="fixed"/>
        <w:tblCellMar>
          <w:left w:w="31" w:type="dxa"/>
          <w:right w:w="31" w:type="dxa"/>
        </w:tblCellMar>
        <w:tblLook w:val="0000" w:firstRow="0" w:lastRow="0" w:firstColumn="0" w:lastColumn="0" w:noHBand="0" w:noVBand="0"/>
        <w:tblCaption w:val="Cash Flow Statement"/>
        <w:tblDescription w:val="This table shows the cash flow statement for 2012–13 with comparison to 2011–12."/>
      </w:tblPr>
      <w:tblGrid>
        <w:gridCol w:w="4709"/>
        <w:gridCol w:w="850"/>
        <w:gridCol w:w="1985"/>
        <w:gridCol w:w="1417"/>
      </w:tblGrid>
      <w:tr w:rsidR="00B83890" w:rsidRPr="00633B89" w:rsidTr="006E6DC8">
        <w:trPr>
          <w:cantSplit/>
          <w:trHeight w:val="255"/>
        </w:trPr>
        <w:tc>
          <w:tcPr>
            <w:tcW w:w="4709" w:type="dxa"/>
            <w:tcBorders>
              <w:top w:val="nil"/>
              <w:bottom w:val="nil"/>
            </w:tcBorders>
            <w:vAlign w:val="center"/>
          </w:tcPr>
          <w:p w:rsidR="00B83890" w:rsidRPr="00633B89" w:rsidRDefault="00B83890" w:rsidP="006E6DC8">
            <w:pPr>
              <w:rPr>
                <w:b/>
                <w:sz w:val="20"/>
                <w:szCs w:val="20"/>
                <w:lang w:val="en-GB"/>
              </w:rPr>
            </w:pPr>
          </w:p>
        </w:tc>
        <w:tc>
          <w:tcPr>
            <w:tcW w:w="850" w:type="dxa"/>
            <w:tcBorders>
              <w:top w:val="nil"/>
              <w:bottom w:val="nil"/>
            </w:tcBorders>
            <w:vAlign w:val="center"/>
          </w:tcPr>
          <w:p w:rsidR="00B83890" w:rsidRPr="00633B89" w:rsidRDefault="00B83890" w:rsidP="006E6DC8">
            <w:pPr>
              <w:jc w:val="center"/>
              <w:rPr>
                <w:b/>
                <w:sz w:val="20"/>
                <w:szCs w:val="20"/>
                <w:lang w:val="en-GB"/>
              </w:rPr>
            </w:pPr>
            <w:r w:rsidRPr="00633B89">
              <w:rPr>
                <w:b/>
                <w:sz w:val="20"/>
                <w:szCs w:val="20"/>
              </w:rPr>
              <w:t>NOTES</w:t>
            </w:r>
          </w:p>
        </w:tc>
        <w:tc>
          <w:tcPr>
            <w:tcW w:w="1985" w:type="dxa"/>
            <w:tcBorders>
              <w:top w:val="nil"/>
              <w:bottom w:val="nil"/>
            </w:tcBorders>
          </w:tcPr>
          <w:p w:rsidR="00B83890" w:rsidRPr="00633B89" w:rsidRDefault="00B83890" w:rsidP="006E6DC8">
            <w:pPr>
              <w:jc w:val="right"/>
              <w:rPr>
                <w:b/>
                <w:i/>
                <w:sz w:val="20"/>
                <w:szCs w:val="20"/>
                <w:lang w:val="en-GB"/>
              </w:rPr>
            </w:pPr>
            <w:r w:rsidRPr="00633B89">
              <w:rPr>
                <w:b/>
                <w:sz w:val="20"/>
                <w:szCs w:val="20"/>
                <w:lang w:val="en-GB"/>
              </w:rPr>
              <w:t>2013</w:t>
            </w:r>
          </w:p>
        </w:tc>
        <w:tc>
          <w:tcPr>
            <w:tcW w:w="1417" w:type="dxa"/>
            <w:tcBorders>
              <w:top w:val="nil"/>
              <w:bottom w:val="nil"/>
            </w:tcBorders>
          </w:tcPr>
          <w:p w:rsidR="00B83890" w:rsidRPr="00633B89" w:rsidRDefault="00B83890" w:rsidP="006E6DC8">
            <w:pPr>
              <w:jc w:val="right"/>
              <w:rPr>
                <w:b/>
                <w:i/>
                <w:sz w:val="20"/>
                <w:szCs w:val="20"/>
                <w:lang w:val="en-GB"/>
              </w:rPr>
            </w:pPr>
            <w:r w:rsidRPr="00633B89">
              <w:rPr>
                <w:b/>
                <w:sz w:val="20"/>
                <w:szCs w:val="20"/>
                <w:lang w:val="en-GB"/>
              </w:rPr>
              <w:t>2012</w:t>
            </w:r>
          </w:p>
        </w:tc>
      </w:tr>
      <w:tr w:rsidR="00B83890" w:rsidRPr="00633B89" w:rsidTr="006E6DC8">
        <w:trPr>
          <w:cantSplit/>
          <w:trHeight w:val="255"/>
        </w:trPr>
        <w:tc>
          <w:tcPr>
            <w:tcW w:w="4709" w:type="dxa"/>
            <w:tcBorders>
              <w:top w:val="nil"/>
              <w:bottom w:val="nil"/>
            </w:tcBorders>
            <w:vAlign w:val="center"/>
          </w:tcPr>
          <w:p w:rsidR="00B83890" w:rsidRPr="00633B89" w:rsidRDefault="00B83890" w:rsidP="006E6DC8">
            <w:pPr>
              <w:rPr>
                <w:b/>
                <w:sz w:val="20"/>
                <w:szCs w:val="20"/>
                <w:lang w:val="en-GB"/>
              </w:rPr>
            </w:pPr>
          </w:p>
        </w:tc>
        <w:tc>
          <w:tcPr>
            <w:tcW w:w="850" w:type="dxa"/>
            <w:tcBorders>
              <w:top w:val="nil"/>
              <w:bottom w:val="nil"/>
            </w:tcBorders>
            <w:vAlign w:val="center"/>
          </w:tcPr>
          <w:p w:rsidR="00B83890" w:rsidRPr="00633B89" w:rsidRDefault="00B83890" w:rsidP="006E6DC8">
            <w:pPr>
              <w:jc w:val="center"/>
              <w:rPr>
                <w:b/>
                <w:sz w:val="20"/>
                <w:szCs w:val="20"/>
                <w:lang w:val="en-GB"/>
              </w:rPr>
            </w:pPr>
          </w:p>
        </w:tc>
        <w:tc>
          <w:tcPr>
            <w:tcW w:w="1985" w:type="dxa"/>
            <w:tcBorders>
              <w:top w:val="nil"/>
              <w:bottom w:val="nil"/>
            </w:tcBorders>
            <w:vAlign w:val="center"/>
          </w:tcPr>
          <w:p w:rsidR="00B83890" w:rsidRPr="00633B89" w:rsidRDefault="00B83890" w:rsidP="006E6DC8">
            <w:pPr>
              <w:jc w:val="right"/>
              <w:rPr>
                <w:b/>
                <w:i/>
                <w:sz w:val="20"/>
                <w:szCs w:val="20"/>
                <w:lang w:val="en-GB"/>
              </w:rPr>
            </w:pPr>
            <w:r w:rsidRPr="00633B89">
              <w:rPr>
                <w:b/>
                <w:sz w:val="20"/>
                <w:szCs w:val="20"/>
                <w:lang w:val="en-GB"/>
              </w:rPr>
              <w:t>$’000</w:t>
            </w:r>
          </w:p>
        </w:tc>
        <w:tc>
          <w:tcPr>
            <w:tcW w:w="1417" w:type="dxa"/>
            <w:tcBorders>
              <w:top w:val="nil"/>
              <w:bottom w:val="nil"/>
            </w:tcBorders>
            <w:vAlign w:val="center"/>
          </w:tcPr>
          <w:p w:rsidR="00B83890" w:rsidRPr="00633B89" w:rsidRDefault="00B83890" w:rsidP="006E6DC8">
            <w:pPr>
              <w:jc w:val="right"/>
              <w:rPr>
                <w:b/>
                <w:i/>
                <w:sz w:val="20"/>
                <w:szCs w:val="20"/>
                <w:lang w:val="en-GB"/>
              </w:rPr>
            </w:pPr>
            <w:r w:rsidRPr="00633B89">
              <w:rPr>
                <w:b/>
                <w:sz w:val="20"/>
                <w:szCs w:val="20"/>
                <w:lang w:val="en-GB"/>
              </w:rPr>
              <w:t>$’000</w:t>
            </w:r>
          </w:p>
        </w:tc>
      </w:tr>
      <w:tr w:rsidR="00B83890" w:rsidRPr="00633B89" w:rsidTr="006E6DC8">
        <w:trPr>
          <w:cantSplit/>
          <w:trHeight w:val="255"/>
        </w:trPr>
        <w:tc>
          <w:tcPr>
            <w:tcW w:w="4709" w:type="dxa"/>
            <w:tcBorders>
              <w:top w:val="nil"/>
            </w:tcBorders>
            <w:vAlign w:val="center"/>
          </w:tcPr>
          <w:p w:rsidR="00B83890" w:rsidRPr="00633B89" w:rsidRDefault="00B83890" w:rsidP="006E6DC8">
            <w:pPr>
              <w:pStyle w:val="Heading5"/>
              <w:spacing w:before="0"/>
              <w:rPr>
                <w:b w:val="0"/>
                <w:sz w:val="20"/>
                <w:szCs w:val="20"/>
                <w:lang w:val="en-GB"/>
              </w:rPr>
            </w:pPr>
            <w:r w:rsidRPr="00633B89">
              <w:rPr>
                <w:sz w:val="20"/>
                <w:szCs w:val="20"/>
                <w:lang w:val="en-GB"/>
              </w:rPr>
              <w:t>Cash Flows from Operating Activities</w:t>
            </w:r>
          </w:p>
        </w:tc>
        <w:tc>
          <w:tcPr>
            <w:tcW w:w="850" w:type="dxa"/>
            <w:tcBorders>
              <w:top w:val="nil"/>
            </w:tcBorders>
            <w:vAlign w:val="center"/>
          </w:tcPr>
          <w:p w:rsidR="00B83890" w:rsidRPr="00633B89" w:rsidRDefault="00B83890" w:rsidP="006E6DC8">
            <w:pPr>
              <w:jc w:val="center"/>
              <w:rPr>
                <w:b/>
                <w:sz w:val="20"/>
                <w:szCs w:val="20"/>
                <w:lang w:val="en-GB"/>
              </w:rPr>
            </w:pPr>
          </w:p>
        </w:tc>
        <w:tc>
          <w:tcPr>
            <w:tcW w:w="1985" w:type="dxa"/>
            <w:tcBorders>
              <w:top w:val="nil"/>
            </w:tcBorders>
            <w:vAlign w:val="center"/>
          </w:tcPr>
          <w:p w:rsidR="00B83890" w:rsidRPr="00633B89" w:rsidRDefault="00B83890" w:rsidP="006E6DC8">
            <w:pPr>
              <w:jc w:val="center"/>
              <w:rPr>
                <w:sz w:val="20"/>
                <w:szCs w:val="20"/>
                <w:lang w:val="en-GB"/>
              </w:rPr>
            </w:pPr>
          </w:p>
        </w:tc>
        <w:tc>
          <w:tcPr>
            <w:tcW w:w="1417" w:type="dxa"/>
            <w:tcBorders>
              <w:top w:val="nil"/>
            </w:tcBorders>
            <w:vAlign w:val="center"/>
          </w:tcPr>
          <w:p w:rsidR="00B83890" w:rsidRPr="00633B89" w:rsidRDefault="00B83890" w:rsidP="006E6DC8">
            <w:pPr>
              <w:jc w:val="center"/>
              <w:rPr>
                <w:sz w:val="20"/>
                <w:szCs w:val="20"/>
                <w:lang w:val="en-GB"/>
              </w:rPr>
            </w:pPr>
          </w:p>
        </w:tc>
      </w:tr>
      <w:tr w:rsidR="00B83890" w:rsidRPr="00633B89" w:rsidTr="006E6DC8">
        <w:trPr>
          <w:cantSplit/>
          <w:trHeight w:val="255"/>
        </w:trPr>
        <w:tc>
          <w:tcPr>
            <w:tcW w:w="4709" w:type="dxa"/>
            <w:vAlign w:val="center"/>
          </w:tcPr>
          <w:p w:rsidR="00B83890" w:rsidRPr="00633B89" w:rsidRDefault="00B83890" w:rsidP="006E6DC8">
            <w:pPr>
              <w:pStyle w:val="Heading3"/>
              <w:rPr>
                <w:i/>
                <w:sz w:val="20"/>
                <w:szCs w:val="20"/>
              </w:rPr>
            </w:pPr>
            <w:r w:rsidRPr="00633B89">
              <w:rPr>
                <w:sz w:val="20"/>
                <w:szCs w:val="20"/>
              </w:rPr>
              <w:t xml:space="preserve">Receipts </w:t>
            </w:r>
          </w:p>
        </w:tc>
        <w:tc>
          <w:tcPr>
            <w:tcW w:w="850" w:type="dxa"/>
            <w:vAlign w:val="center"/>
          </w:tcPr>
          <w:p w:rsidR="00B83890" w:rsidRPr="00633B89" w:rsidRDefault="00B83890" w:rsidP="006E6DC8">
            <w:pPr>
              <w:jc w:val="center"/>
              <w:rPr>
                <w:b/>
                <w:i/>
                <w:sz w:val="20"/>
                <w:szCs w:val="20"/>
                <w:lang w:val="en-GB"/>
              </w:rPr>
            </w:pPr>
          </w:p>
        </w:tc>
        <w:tc>
          <w:tcPr>
            <w:tcW w:w="1985" w:type="dxa"/>
            <w:vAlign w:val="center"/>
          </w:tcPr>
          <w:p w:rsidR="00B83890" w:rsidRPr="00633B89" w:rsidRDefault="00B83890" w:rsidP="006E6DC8">
            <w:pPr>
              <w:jc w:val="center"/>
              <w:rPr>
                <w:sz w:val="20"/>
                <w:szCs w:val="20"/>
                <w:lang w:val="en-GB"/>
              </w:rPr>
            </w:pPr>
          </w:p>
        </w:tc>
        <w:tc>
          <w:tcPr>
            <w:tcW w:w="1417" w:type="dxa"/>
            <w:vAlign w:val="center"/>
          </w:tcPr>
          <w:p w:rsidR="00B83890" w:rsidRPr="00633B89" w:rsidRDefault="00B83890" w:rsidP="006E6DC8">
            <w:pPr>
              <w:jc w:val="center"/>
              <w:rPr>
                <w:sz w:val="20"/>
                <w:szCs w:val="20"/>
                <w:lang w:val="en-GB"/>
              </w:rPr>
            </w:pPr>
          </w:p>
        </w:tc>
      </w:tr>
      <w:tr w:rsidR="00B83890" w:rsidRPr="00633B89" w:rsidTr="006E6DC8">
        <w:trPr>
          <w:cantSplit/>
          <w:trHeight w:val="255"/>
        </w:trPr>
        <w:tc>
          <w:tcPr>
            <w:tcW w:w="4709" w:type="dxa"/>
            <w:vAlign w:val="center"/>
          </w:tcPr>
          <w:p w:rsidR="00B83890" w:rsidRPr="00633B89" w:rsidRDefault="00B83890" w:rsidP="006E6DC8">
            <w:pPr>
              <w:pStyle w:val="Heading9"/>
              <w:spacing w:before="0" w:after="0"/>
              <w:ind w:left="720" w:hanging="11"/>
              <w:rPr>
                <w:b/>
                <w:sz w:val="20"/>
                <w:szCs w:val="20"/>
              </w:rPr>
            </w:pPr>
            <w:r w:rsidRPr="00633B89">
              <w:rPr>
                <w:sz w:val="20"/>
                <w:szCs w:val="20"/>
              </w:rPr>
              <w:t>Government Grants: Recurrent</w:t>
            </w:r>
          </w:p>
        </w:tc>
        <w:tc>
          <w:tcPr>
            <w:tcW w:w="850" w:type="dxa"/>
            <w:vAlign w:val="center"/>
          </w:tcPr>
          <w:p w:rsidR="00B83890" w:rsidRPr="00633B89" w:rsidRDefault="00B83890" w:rsidP="006E6DC8">
            <w:pPr>
              <w:jc w:val="center"/>
              <w:rPr>
                <w:b/>
                <w:i/>
                <w:sz w:val="20"/>
                <w:szCs w:val="20"/>
                <w:lang w:val="en-GB"/>
              </w:rPr>
            </w:pPr>
          </w:p>
        </w:tc>
        <w:tc>
          <w:tcPr>
            <w:tcW w:w="1985" w:type="dxa"/>
            <w:vAlign w:val="center"/>
          </w:tcPr>
          <w:p w:rsidR="00B83890" w:rsidRPr="00633B89" w:rsidRDefault="00B83890" w:rsidP="006E6DC8">
            <w:pPr>
              <w:jc w:val="right"/>
              <w:rPr>
                <w:sz w:val="20"/>
                <w:szCs w:val="20"/>
                <w:lang w:val="en-GB"/>
              </w:rPr>
            </w:pPr>
            <w:r w:rsidRPr="00633B89">
              <w:rPr>
                <w:sz w:val="20"/>
                <w:szCs w:val="20"/>
                <w:lang w:val="en-GB"/>
              </w:rPr>
              <w:t>84,701</w:t>
            </w:r>
          </w:p>
        </w:tc>
        <w:tc>
          <w:tcPr>
            <w:tcW w:w="1417" w:type="dxa"/>
            <w:vAlign w:val="center"/>
          </w:tcPr>
          <w:p w:rsidR="00B83890" w:rsidRPr="00633B89" w:rsidRDefault="00B83890" w:rsidP="006E6DC8">
            <w:pPr>
              <w:jc w:val="right"/>
              <w:rPr>
                <w:sz w:val="20"/>
                <w:szCs w:val="20"/>
                <w:lang w:val="en-GB"/>
              </w:rPr>
            </w:pPr>
            <w:r w:rsidRPr="00633B89">
              <w:rPr>
                <w:sz w:val="20"/>
                <w:szCs w:val="20"/>
                <w:lang w:val="en-GB"/>
              </w:rPr>
              <w:t>85,806</w:t>
            </w:r>
          </w:p>
        </w:tc>
      </w:tr>
      <w:tr w:rsidR="00B83890" w:rsidRPr="00633B89" w:rsidTr="006E6DC8">
        <w:trPr>
          <w:cantSplit/>
          <w:trHeight w:val="255"/>
        </w:trPr>
        <w:tc>
          <w:tcPr>
            <w:tcW w:w="4709" w:type="dxa"/>
            <w:vAlign w:val="center"/>
          </w:tcPr>
          <w:p w:rsidR="00B83890" w:rsidRPr="00633B89" w:rsidRDefault="00B83890" w:rsidP="006E6DC8">
            <w:pPr>
              <w:ind w:left="720" w:hanging="11"/>
              <w:rPr>
                <w:sz w:val="20"/>
                <w:szCs w:val="20"/>
                <w:lang w:val="en-GB"/>
              </w:rPr>
            </w:pPr>
            <w:r w:rsidRPr="00633B89">
              <w:rPr>
                <w:sz w:val="20"/>
                <w:szCs w:val="20"/>
                <w:lang w:val="en-GB"/>
              </w:rPr>
              <w:t xml:space="preserve">Grants and Donations </w:t>
            </w:r>
          </w:p>
        </w:tc>
        <w:tc>
          <w:tcPr>
            <w:tcW w:w="850" w:type="dxa"/>
            <w:vAlign w:val="center"/>
          </w:tcPr>
          <w:p w:rsidR="00B83890" w:rsidRPr="00633B89" w:rsidRDefault="00B83890" w:rsidP="006E6DC8">
            <w:pPr>
              <w:jc w:val="center"/>
              <w:rPr>
                <w:sz w:val="20"/>
                <w:szCs w:val="20"/>
                <w:lang w:val="en-GB"/>
              </w:rPr>
            </w:pPr>
          </w:p>
        </w:tc>
        <w:tc>
          <w:tcPr>
            <w:tcW w:w="1985" w:type="dxa"/>
            <w:vAlign w:val="center"/>
          </w:tcPr>
          <w:p w:rsidR="00B83890" w:rsidRPr="00633B89" w:rsidRDefault="00B83890" w:rsidP="006E6DC8">
            <w:pPr>
              <w:jc w:val="right"/>
              <w:rPr>
                <w:sz w:val="20"/>
                <w:szCs w:val="20"/>
                <w:lang w:val="en-GB"/>
              </w:rPr>
            </w:pPr>
            <w:r w:rsidRPr="00633B89">
              <w:rPr>
                <w:sz w:val="20"/>
                <w:szCs w:val="20"/>
                <w:lang w:val="en-GB"/>
              </w:rPr>
              <w:t>4,813</w:t>
            </w:r>
          </w:p>
        </w:tc>
        <w:tc>
          <w:tcPr>
            <w:tcW w:w="1417" w:type="dxa"/>
            <w:vAlign w:val="center"/>
          </w:tcPr>
          <w:p w:rsidR="00B83890" w:rsidRPr="00633B89" w:rsidRDefault="00B83890" w:rsidP="006E6DC8">
            <w:pPr>
              <w:jc w:val="right"/>
              <w:rPr>
                <w:sz w:val="20"/>
                <w:szCs w:val="20"/>
                <w:lang w:val="en-GB"/>
              </w:rPr>
            </w:pPr>
            <w:r w:rsidRPr="00633B89">
              <w:rPr>
                <w:sz w:val="20"/>
                <w:szCs w:val="20"/>
                <w:lang w:val="en-GB"/>
              </w:rPr>
              <w:t>5,055</w:t>
            </w:r>
          </w:p>
        </w:tc>
      </w:tr>
      <w:tr w:rsidR="00B83890" w:rsidRPr="00633B89" w:rsidTr="006E6DC8">
        <w:trPr>
          <w:cantSplit/>
          <w:trHeight w:val="255"/>
        </w:trPr>
        <w:tc>
          <w:tcPr>
            <w:tcW w:w="4709" w:type="dxa"/>
            <w:vAlign w:val="center"/>
          </w:tcPr>
          <w:p w:rsidR="00B83890" w:rsidRPr="00633B89" w:rsidRDefault="00B83890" w:rsidP="006E6DC8">
            <w:pPr>
              <w:ind w:left="720" w:hanging="11"/>
              <w:rPr>
                <w:sz w:val="20"/>
                <w:szCs w:val="20"/>
                <w:lang w:val="en-GB"/>
              </w:rPr>
            </w:pPr>
            <w:r w:rsidRPr="00633B89">
              <w:rPr>
                <w:sz w:val="20"/>
                <w:szCs w:val="20"/>
                <w:lang w:val="en-GB"/>
              </w:rPr>
              <w:t>Interest</w:t>
            </w:r>
          </w:p>
        </w:tc>
        <w:tc>
          <w:tcPr>
            <w:tcW w:w="850" w:type="dxa"/>
            <w:vAlign w:val="center"/>
          </w:tcPr>
          <w:p w:rsidR="00B83890" w:rsidRPr="00633B89" w:rsidRDefault="00B83890" w:rsidP="006E6DC8">
            <w:pPr>
              <w:jc w:val="center"/>
              <w:rPr>
                <w:sz w:val="20"/>
                <w:szCs w:val="20"/>
                <w:lang w:val="en-GB"/>
              </w:rPr>
            </w:pPr>
          </w:p>
        </w:tc>
        <w:tc>
          <w:tcPr>
            <w:tcW w:w="1985" w:type="dxa"/>
            <w:vAlign w:val="center"/>
          </w:tcPr>
          <w:p w:rsidR="00B83890" w:rsidRPr="00633B89" w:rsidRDefault="00B83890" w:rsidP="006E6DC8">
            <w:pPr>
              <w:jc w:val="right"/>
              <w:rPr>
                <w:sz w:val="20"/>
                <w:szCs w:val="20"/>
                <w:lang w:val="en-GB"/>
              </w:rPr>
            </w:pPr>
            <w:r w:rsidRPr="00633B89">
              <w:rPr>
                <w:sz w:val="20"/>
                <w:szCs w:val="20"/>
                <w:lang w:val="en-GB"/>
              </w:rPr>
              <w:t>1,276</w:t>
            </w:r>
          </w:p>
        </w:tc>
        <w:tc>
          <w:tcPr>
            <w:tcW w:w="1417" w:type="dxa"/>
            <w:vAlign w:val="center"/>
          </w:tcPr>
          <w:p w:rsidR="00B83890" w:rsidRPr="00633B89" w:rsidRDefault="00B83890" w:rsidP="006E6DC8">
            <w:pPr>
              <w:jc w:val="right"/>
              <w:rPr>
                <w:sz w:val="20"/>
                <w:szCs w:val="20"/>
                <w:lang w:val="en-GB"/>
              </w:rPr>
            </w:pPr>
            <w:r w:rsidRPr="00633B89">
              <w:rPr>
                <w:sz w:val="20"/>
                <w:szCs w:val="20"/>
                <w:lang w:val="en-GB"/>
              </w:rPr>
              <w:t>1,627</w:t>
            </w:r>
          </w:p>
        </w:tc>
      </w:tr>
      <w:tr w:rsidR="00B83890" w:rsidRPr="00633B89" w:rsidTr="006E6DC8">
        <w:trPr>
          <w:cantSplit/>
          <w:trHeight w:val="255"/>
        </w:trPr>
        <w:tc>
          <w:tcPr>
            <w:tcW w:w="4709" w:type="dxa"/>
            <w:vAlign w:val="center"/>
          </w:tcPr>
          <w:p w:rsidR="00B83890" w:rsidRPr="00633B89" w:rsidRDefault="00B83890" w:rsidP="006E6DC8">
            <w:pPr>
              <w:ind w:left="720" w:hanging="11"/>
              <w:rPr>
                <w:sz w:val="20"/>
                <w:szCs w:val="20"/>
                <w:lang w:val="en-GB"/>
              </w:rPr>
            </w:pPr>
            <w:r w:rsidRPr="00633B89">
              <w:rPr>
                <w:sz w:val="20"/>
                <w:szCs w:val="20"/>
                <w:lang w:val="en-GB"/>
              </w:rPr>
              <w:t>Fees and Charges</w:t>
            </w:r>
          </w:p>
        </w:tc>
        <w:tc>
          <w:tcPr>
            <w:tcW w:w="850" w:type="dxa"/>
            <w:vAlign w:val="center"/>
          </w:tcPr>
          <w:p w:rsidR="00B83890" w:rsidRPr="00633B89" w:rsidRDefault="00B83890" w:rsidP="006E6DC8">
            <w:pPr>
              <w:jc w:val="center"/>
              <w:rPr>
                <w:sz w:val="20"/>
                <w:szCs w:val="20"/>
                <w:lang w:val="en-GB"/>
              </w:rPr>
            </w:pPr>
          </w:p>
        </w:tc>
        <w:tc>
          <w:tcPr>
            <w:tcW w:w="1985" w:type="dxa"/>
            <w:vAlign w:val="center"/>
          </w:tcPr>
          <w:p w:rsidR="00B83890" w:rsidRPr="00633B89" w:rsidRDefault="00B83890" w:rsidP="006E6DC8">
            <w:pPr>
              <w:jc w:val="right"/>
              <w:rPr>
                <w:sz w:val="20"/>
                <w:szCs w:val="20"/>
                <w:lang w:val="en-GB"/>
              </w:rPr>
            </w:pPr>
            <w:r w:rsidRPr="00633B89">
              <w:rPr>
                <w:sz w:val="20"/>
                <w:szCs w:val="20"/>
                <w:lang w:val="en-GB"/>
              </w:rPr>
              <w:t>14,678</w:t>
            </w:r>
          </w:p>
        </w:tc>
        <w:tc>
          <w:tcPr>
            <w:tcW w:w="1417" w:type="dxa"/>
            <w:vAlign w:val="center"/>
          </w:tcPr>
          <w:p w:rsidR="00B83890" w:rsidRPr="00633B89" w:rsidRDefault="00B83890" w:rsidP="006E6DC8">
            <w:pPr>
              <w:jc w:val="right"/>
              <w:rPr>
                <w:sz w:val="20"/>
                <w:szCs w:val="20"/>
                <w:lang w:val="en-GB"/>
              </w:rPr>
            </w:pPr>
            <w:r w:rsidRPr="00633B89">
              <w:rPr>
                <w:sz w:val="20"/>
                <w:szCs w:val="20"/>
                <w:lang w:val="en-GB"/>
              </w:rPr>
              <w:t>14,313</w:t>
            </w:r>
          </w:p>
        </w:tc>
      </w:tr>
      <w:tr w:rsidR="00B83890" w:rsidRPr="00633B89" w:rsidTr="006E6DC8">
        <w:trPr>
          <w:cantSplit/>
          <w:trHeight w:val="255"/>
        </w:trPr>
        <w:tc>
          <w:tcPr>
            <w:tcW w:w="4709" w:type="dxa"/>
            <w:vAlign w:val="center"/>
          </w:tcPr>
          <w:p w:rsidR="00B83890" w:rsidRPr="00633B89" w:rsidRDefault="00B83890" w:rsidP="006E6DC8">
            <w:pPr>
              <w:ind w:left="720" w:hanging="11"/>
              <w:rPr>
                <w:sz w:val="20"/>
                <w:szCs w:val="20"/>
                <w:lang w:val="en-GB"/>
              </w:rPr>
            </w:pPr>
            <w:r w:rsidRPr="00633B89">
              <w:rPr>
                <w:sz w:val="20"/>
                <w:szCs w:val="20"/>
                <w:lang w:val="en-GB"/>
              </w:rPr>
              <w:t>Sales – Commercial Operations</w:t>
            </w:r>
          </w:p>
        </w:tc>
        <w:tc>
          <w:tcPr>
            <w:tcW w:w="850" w:type="dxa"/>
            <w:vAlign w:val="center"/>
          </w:tcPr>
          <w:p w:rsidR="00B83890" w:rsidRPr="00633B89" w:rsidRDefault="00B83890" w:rsidP="006E6DC8">
            <w:pPr>
              <w:jc w:val="center"/>
              <w:rPr>
                <w:sz w:val="20"/>
                <w:szCs w:val="20"/>
                <w:lang w:val="en-GB"/>
              </w:rPr>
            </w:pPr>
          </w:p>
        </w:tc>
        <w:tc>
          <w:tcPr>
            <w:tcW w:w="1985" w:type="dxa"/>
            <w:vAlign w:val="center"/>
          </w:tcPr>
          <w:p w:rsidR="00B83890" w:rsidRPr="00633B89" w:rsidRDefault="00B83890" w:rsidP="006E6DC8">
            <w:pPr>
              <w:jc w:val="right"/>
              <w:rPr>
                <w:sz w:val="20"/>
                <w:szCs w:val="20"/>
                <w:lang w:val="en-GB"/>
              </w:rPr>
            </w:pPr>
            <w:r w:rsidRPr="00633B89">
              <w:rPr>
                <w:sz w:val="20"/>
                <w:szCs w:val="20"/>
                <w:lang w:val="en-GB"/>
              </w:rPr>
              <w:t>3,479</w:t>
            </w:r>
          </w:p>
        </w:tc>
        <w:tc>
          <w:tcPr>
            <w:tcW w:w="1417" w:type="dxa"/>
            <w:vAlign w:val="center"/>
          </w:tcPr>
          <w:p w:rsidR="00B83890" w:rsidRPr="00633B89" w:rsidRDefault="00B83890" w:rsidP="006E6DC8">
            <w:pPr>
              <w:jc w:val="right"/>
              <w:rPr>
                <w:sz w:val="20"/>
                <w:szCs w:val="20"/>
                <w:lang w:val="en-GB"/>
              </w:rPr>
            </w:pPr>
            <w:r w:rsidRPr="00633B89">
              <w:rPr>
                <w:sz w:val="20"/>
                <w:szCs w:val="20"/>
                <w:lang w:val="en-GB"/>
              </w:rPr>
              <w:t>3,956</w:t>
            </w:r>
          </w:p>
        </w:tc>
      </w:tr>
      <w:tr w:rsidR="00B83890" w:rsidRPr="00633B89" w:rsidTr="006E6DC8">
        <w:trPr>
          <w:cantSplit/>
          <w:trHeight w:val="255"/>
        </w:trPr>
        <w:tc>
          <w:tcPr>
            <w:tcW w:w="4709" w:type="dxa"/>
            <w:vAlign w:val="center"/>
          </w:tcPr>
          <w:p w:rsidR="00B83890" w:rsidRPr="00633B89" w:rsidRDefault="00B83890" w:rsidP="006E6DC8">
            <w:pPr>
              <w:ind w:left="720" w:hanging="11"/>
              <w:rPr>
                <w:sz w:val="20"/>
                <w:szCs w:val="20"/>
                <w:lang w:val="en-GB"/>
              </w:rPr>
            </w:pPr>
            <w:r w:rsidRPr="00633B89">
              <w:rPr>
                <w:sz w:val="20"/>
                <w:szCs w:val="20"/>
                <w:lang w:val="en-GB"/>
              </w:rPr>
              <w:t>Other</w:t>
            </w:r>
          </w:p>
        </w:tc>
        <w:tc>
          <w:tcPr>
            <w:tcW w:w="850" w:type="dxa"/>
            <w:vAlign w:val="center"/>
          </w:tcPr>
          <w:p w:rsidR="00B83890" w:rsidRPr="00633B89" w:rsidRDefault="00B83890" w:rsidP="006E6DC8">
            <w:pPr>
              <w:jc w:val="center"/>
              <w:rPr>
                <w:sz w:val="20"/>
                <w:szCs w:val="20"/>
                <w:lang w:val="en-GB"/>
              </w:rPr>
            </w:pPr>
          </w:p>
        </w:tc>
        <w:tc>
          <w:tcPr>
            <w:tcW w:w="1985" w:type="dxa"/>
            <w:vAlign w:val="center"/>
          </w:tcPr>
          <w:p w:rsidR="00B83890" w:rsidRPr="00633B89" w:rsidRDefault="00B83890" w:rsidP="006E6DC8">
            <w:pPr>
              <w:jc w:val="right"/>
              <w:rPr>
                <w:sz w:val="20"/>
                <w:szCs w:val="20"/>
                <w:lang w:val="en-GB"/>
              </w:rPr>
            </w:pPr>
            <w:r w:rsidRPr="00633B89">
              <w:rPr>
                <w:sz w:val="20"/>
                <w:szCs w:val="20"/>
                <w:lang w:val="en-GB"/>
              </w:rPr>
              <w:t>8,929</w:t>
            </w:r>
          </w:p>
        </w:tc>
        <w:tc>
          <w:tcPr>
            <w:tcW w:w="1417" w:type="dxa"/>
            <w:vAlign w:val="center"/>
          </w:tcPr>
          <w:p w:rsidR="00B83890" w:rsidRPr="00633B89" w:rsidRDefault="00B83890" w:rsidP="006E6DC8">
            <w:pPr>
              <w:jc w:val="right"/>
              <w:rPr>
                <w:sz w:val="20"/>
                <w:szCs w:val="20"/>
                <w:lang w:val="en-GB"/>
              </w:rPr>
            </w:pPr>
            <w:r w:rsidRPr="00633B89">
              <w:rPr>
                <w:sz w:val="20"/>
                <w:szCs w:val="20"/>
                <w:lang w:val="en-GB"/>
              </w:rPr>
              <w:t>7,713</w:t>
            </w:r>
          </w:p>
        </w:tc>
      </w:tr>
      <w:tr w:rsidR="00B83890" w:rsidRPr="00633B89" w:rsidTr="006E6DC8">
        <w:trPr>
          <w:cantSplit/>
          <w:trHeight w:val="255"/>
        </w:trPr>
        <w:tc>
          <w:tcPr>
            <w:tcW w:w="4709" w:type="dxa"/>
            <w:vAlign w:val="center"/>
          </w:tcPr>
          <w:p w:rsidR="00B83890" w:rsidRPr="00633B89" w:rsidRDefault="00B83890" w:rsidP="006E6DC8">
            <w:pPr>
              <w:pStyle w:val="Heading9"/>
              <w:spacing w:before="0" w:after="0"/>
              <w:ind w:left="720" w:hanging="11"/>
              <w:rPr>
                <w:b/>
                <w:sz w:val="20"/>
                <w:szCs w:val="20"/>
              </w:rPr>
            </w:pPr>
            <w:r w:rsidRPr="00633B89">
              <w:rPr>
                <w:sz w:val="20"/>
                <w:szCs w:val="20"/>
              </w:rPr>
              <w:t>Goods and Services Tax on Receipts</w:t>
            </w:r>
          </w:p>
        </w:tc>
        <w:tc>
          <w:tcPr>
            <w:tcW w:w="850" w:type="dxa"/>
            <w:vAlign w:val="center"/>
          </w:tcPr>
          <w:p w:rsidR="00B83890" w:rsidRPr="00633B89" w:rsidRDefault="00B83890" w:rsidP="006E6DC8">
            <w:pPr>
              <w:jc w:val="center"/>
              <w:rPr>
                <w:b/>
                <w:i/>
                <w:sz w:val="20"/>
                <w:szCs w:val="20"/>
                <w:lang w:val="en-GB"/>
              </w:rPr>
            </w:pPr>
          </w:p>
        </w:tc>
        <w:tc>
          <w:tcPr>
            <w:tcW w:w="1985" w:type="dxa"/>
            <w:vAlign w:val="center"/>
          </w:tcPr>
          <w:p w:rsidR="00B83890" w:rsidRPr="00633B89" w:rsidRDefault="00B83890" w:rsidP="006E6DC8">
            <w:pPr>
              <w:jc w:val="right"/>
              <w:rPr>
                <w:sz w:val="20"/>
                <w:szCs w:val="20"/>
                <w:lang w:val="en-GB"/>
              </w:rPr>
            </w:pPr>
            <w:r w:rsidRPr="00633B89">
              <w:rPr>
                <w:sz w:val="20"/>
                <w:szCs w:val="20"/>
                <w:lang w:val="en-GB"/>
              </w:rPr>
              <w:t>1,967</w:t>
            </w:r>
          </w:p>
        </w:tc>
        <w:tc>
          <w:tcPr>
            <w:tcW w:w="1417" w:type="dxa"/>
            <w:vAlign w:val="center"/>
          </w:tcPr>
          <w:p w:rsidR="00B83890" w:rsidRPr="00633B89" w:rsidRDefault="00B83890" w:rsidP="006E6DC8">
            <w:pPr>
              <w:jc w:val="right"/>
              <w:rPr>
                <w:sz w:val="20"/>
                <w:szCs w:val="20"/>
                <w:lang w:val="en-GB"/>
              </w:rPr>
            </w:pPr>
            <w:r w:rsidRPr="00633B89">
              <w:rPr>
                <w:sz w:val="20"/>
                <w:szCs w:val="20"/>
                <w:lang w:val="en-GB"/>
              </w:rPr>
              <w:t>2,488</w:t>
            </w:r>
          </w:p>
        </w:tc>
      </w:tr>
      <w:tr w:rsidR="00B83890" w:rsidRPr="00633B89" w:rsidTr="006E6DC8">
        <w:trPr>
          <w:cantSplit/>
          <w:trHeight w:val="255"/>
        </w:trPr>
        <w:tc>
          <w:tcPr>
            <w:tcW w:w="4709" w:type="dxa"/>
            <w:vAlign w:val="center"/>
          </w:tcPr>
          <w:p w:rsidR="00B83890" w:rsidRPr="00633B89" w:rsidRDefault="00B83890" w:rsidP="006E6DC8">
            <w:pPr>
              <w:pStyle w:val="Heading9"/>
              <w:spacing w:before="0" w:after="0"/>
              <w:ind w:left="720" w:hanging="11"/>
              <w:rPr>
                <w:b/>
                <w:sz w:val="20"/>
                <w:szCs w:val="20"/>
              </w:rPr>
            </w:pPr>
            <w:r w:rsidRPr="00633B89">
              <w:rPr>
                <w:sz w:val="20"/>
                <w:szCs w:val="20"/>
              </w:rPr>
              <w:t>Goods and Services Tax Recovered from the ATO</w:t>
            </w:r>
          </w:p>
        </w:tc>
        <w:tc>
          <w:tcPr>
            <w:tcW w:w="850" w:type="dxa"/>
            <w:vAlign w:val="center"/>
          </w:tcPr>
          <w:p w:rsidR="00B83890" w:rsidRPr="00633B89" w:rsidRDefault="00B83890" w:rsidP="006E6DC8">
            <w:pPr>
              <w:jc w:val="center"/>
              <w:rPr>
                <w:b/>
                <w:i/>
                <w:sz w:val="20"/>
                <w:szCs w:val="20"/>
                <w:lang w:val="en-GB"/>
              </w:rPr>
            </w:pPr>
          </w:p>
        </w:tc>
        <w:tc>
          <w:tcPr>
            <w:tcW w:w="1985" w:type="dxa"/>
            <w:vAlign w:val="center"/>
          </w:tcPr>
          <w:p w:rsidR="00B83890" w:rsidRPr="00633B89" w:rsidRDefault="00B83890" w:rsidP="006E6DC8">
            <w:pPr>
              <w:jc w:val="right"/>
              <w:rPr>
                <w:sz w:val="20"/>
                <w:szCs w:val="20"/>
                <w:lang w:val="en-GB"/>
              </w:rPr>
            </w:pPr>
          </w:p>
          <w:p w:rsidR="00B83890" w:rsidRPr="00633B89" w:rsidRDefault="00B83890" w:rsidP="006E6DC8">
            <w:pPr>
              <w:jc w:val="right"/>
              <w:rPr>
                <w:sz w:val="20"/>
                <w:szCs w:val="20"/>
                <w:lang w:val="en-GB"/>
              </w:rPr>
            </w:pPr>
            <w:r w:rsidRPr="00633B89">
              <w:rPr>
                <w:sz w:val="20"/>
                <w:szCs w:val="20"/>
                <w:lang w:val="en-GB"/>
              </w:rPr>
              <w:t>1,623</w:t>
            </w:r>
          </w:p>
        </w:tc>
        <w:tc>
          <w:tcPr>
            <w:tcW w:w="1417" w:type="dxa"/>
            <w:vAlign w:val="center"/>
          </w:tcPr>
          <w:p w:rsidR="00B83890" w:rsidRPr="00633B89" w:rsidRDefault="00B83890" w:rsidP="006E6DC8">
            <w:pPr>
              <w:jc w:val="right"/>
              <w:rPr>
                <w:sz w:val="20"/>
                <w:szCs w:val="20"/>
                <w:lang w:val="en-GB"/>
              </w:rPr>
            </w:pPr>
          </w:p>
          <w:p w:rsidR="00B83890" w:rsidRPr="00633B89" w:rsidRDefault="00B83890" w:rsidP="006E6DC8">
            <w:pPr>
              <w:jc w:val="right"/>
              <w:rPr>
                <w:sz w:val="20"/>
                <w:szCs w:val="20"/>
                <w:lang w:val="en-GB"/>
              </w:rPr>
            </w:pPr>
            <w:r w:rsidRPr="00633B89">
              <w:rPr>
                <w:sz w:val="20"/>
                <w:szCs w:val="20"/>
                <w:lang w:val="en-GB"/>
              </w:rPr>
              <w:t>1,077</w:t>
            </w:r>
          </w:p>
        </w:tc>
      </w:tr>
      <w:tr w:rsidR="00B83890" w:rsidRPr="00633B89" w:rsidTr="006E6DC8">
        <w:trPr>
          <w:cantSplit/>
          <w:trHeight w:val="255"/>
        </w:trPr>
        <w:tc>
          <w:tcPr>
            <w:tcW w:w="4709" w:type="dxa"/>
            <w:tcBorders>
              <w:bottom w:val="single" w:sz="4" w:space="0" w:color="auto"/>
            </w:tcBorders>
            <w:vAlign w:val="center"/>
          </w:tcPr>
          <w:p w:rsidR="00B83890" w:rsidRPr="00633B89" w:rsidRDefault="00B83890" w:rsidP="006E6DC8">
            <w:pPr>
              <w:ind w:left="720"/>
              <w:rPr>
                <w:sz w:val="20"/>
                <w:szCs w:val="20"/>
                <w:lang w:val="en-GB"/>
              </w:rPr>
            </w:pPr>
          </w:p>
        </w:tc>
        <w:tc>
          <w:tcPr>
            <w:tcW w:w="850" w:type="dxa"/>
            <w:tcBorders>
              <w:bottom w:val="single" w:sz="4" w:space="0" w:color="auto"/>
            </w:tcBorders>
            <w:vAlign w:val="center"/>
          </w:tcPr>
          <w:p w:rsidR="00B83890" w:rsidRPr="00633B89" w:rsidRDefault="00B83890" w:rsidP="006E6DC8">
            <w:pPr>
              <w:jc w:val="center"/>
              <w:rPr>
                <w:i/>
                <w:sz w:val="20"/>
                <w:szCs w:val="20"/>
                <w:lang w:val="en-GB"/>
              </w:rPr>
            </w:pPr>
          </w:p>
        </w:tc>
        <w:tc>
          <w:tcPr>
            <w:tcW w:w="1985" w:type="dxa"/>
            <w:tcBorders>
              <w:bottom w:val="single" w:sz="4" w:space="0" w:color="auto"/>
            </w:tcBorders>
            <w:vAlign w:val="center"/>
          </w:tcPr>
          <w:p w:rsidR="00B83890" w:rsidRPr="00633B89" w:rsidRDefault="00B83890" w:rsidP="006E6DC8">
            <w:pPr>
              <w:jc w:val="right"/>
              <w:rPr>
                <w:sz w:val="20"/>
                <w:szCs w:val="20"/>
                <w:lang w:val="en-GB"/>
              </w:rPr>
            </w:pPr>
          </w:p>
        </w:tc>
        <w:tc>
          <w:tcPr>
            <w:tcW w:w="1417" w:type="dxa"/>
            <w:tcBorders>
              <w:bottom w:val="single" w:sz="4" w:space="0" w:color="auto"/>
            </w:tcBorders>
            <w:vAlign w:val="center"/>
          </w:tcPr>
          <w:p w:rsidR="00B83890" w:rsidRPr="00633B89" w:rsidRDefault="00B83890" w:rsidP="006E6DC8">
            <w:pPr>
              <w:jc w:val="right"/>
              <w:rPr>
                <w:sz w:val="20"/>
                <w:szCs w:val="20"/>
                <w:lang w:val="en-GB"/>
              </w:rPr>
            </w:pPr>
          </w:p>
        </w:tc>
      </w:tr>
      <w:tr w:rsidR="00B83890" w:rsidRPr="00633B89" w:rsidTr="006E6DC8">
        <w:trPr>
          <w:cantSplit/>
          <w:trHeight w:val="255"/>
        </w:trPr>
        <w:tc>
          <w:tcPr>
            <w:tcW w:w="4709" w:type="dxa"/>
            <w:tcBorders>
              <w:top w:val="single" w:sz="4" w:space="0" w:color="auto"/>
              <w:bottom w:val="single" w:sz="4" w:space="0" w:color="auto"/>
            </w:tcBorders>
            <w:vAlign w:val="center"/>
          </w:tcPr>
          <w:p w:rsidR="00B83890" w:rsidRPr="00633B89" w:rsidRDefault="00B83890" w:rsidP="006E6DC8">
            <w:pPr>
              <w:pStyle w:val="total"/>
              <w:rPr>
                <w:color w:val="auto"/>
                <w:sz w:val="20"/>
              </w:rPr>
            </w:pPr>
            <w:r w:rsidRPr="00633B89">
              <w:rPr>
                <w:caps w:val="0"/>
                <w:color w:val="auto"/>
                <w:sz w:val="20"/>
              </w:rPr>
              <w:t>Total Receipts</w:t>
            </w:r>
          </w:p>
        </w:tc>
        <w:tc>
          <w:tcPr>
            <w:tcW w:w="850" w:type="dxa"/>
            <w:tcBorders>
              <w:top w:val="single" w:sz="4" w:space="0" w:color="auto"/>
              <w:bottom w:val="single" w:sz="4" w:space="0" w:color="auto"/>
            </w:tcBorders>
            <w:vAlign w:val="center"/>
          </w:tcPr>
          <w:p w:rsidR="00B83890" w:rsidRPr="00633B89" w:rsidRDefault="00B83890" w:rsidP="006E6DC8">
            <w:pPr>
              <w:jc w:val="center"/>
              <w:rPr>
                <w:b/>
                <w:i/>
                <w:sz w:val="20"/>
                <w:szCs w:val="20"/>
                <w:lang w:val="en-GB"/>
              </w:rPr>
            </w:pPr>
          </w:p>
        </w:tc>
        <w:tc>
          <w:tcPr>
            <w:tcW w:w="1985" w:type="dxa"/>
            <w:tcBorders>
              <w:top w:val="single" w:sz="4" w:space="0" w:color="auto"/>
              <w:bottom w:val="single" w:sz="4" w:space="0" w:color="auto"/>
            </w:tcBorders>
            <w:vAlign w:val="center"/>
          </w:tcPr>
          <w:p w:rsidR="00B83890" w:rsidRPr="00633B89" w:rsidRDefault="00B83890" w:rsidP="006E6DC8">
            <w:pPr>
              <w:jc w:val="right"/>
              <w:rPr>
                <w:b/>
                <w:sz w:val="20"/>
                <w:szCs w:val="20"/>
                <w:lang w:val="en-GB"/>
              </w:rPr>
            </w:pPr>
            <w:r w:rsidRPr="00633B89">
              <w:rPr>
                <w:b/>
                <w:sz w:val="20"/>
                <w:szCs w:val="20"/>
                <w:lang w:val="en-GB"/>
              </w:rPr>
              <w:t>121,466</w:t>
            </w:r>
          </w:p>
        </w:tc>
        <w:tc>
          <w:tcPr>
            <w:tcW w:w="1417" w:type="dxa"/>
            <w:tcBorders>
              <w:top w:val="single" w:sz="4" w:space="0" w:color="auto"/>
              <w:bottom w:val="single" w:sz="4" w:space="0" w:color="auto"/>
            </w:tcBorders>
            <w:vAlign w:val="center"/>
          </w:tcPr>
          <w:p w:rsidR="00B83890" w:rsidRPr="00633B89" w:rsidRDefault="00B83890" w:rsidP="006E6DC8">
            <w:pPr>
              <w:jc w:val="right"/>
              <w:rPr>
                <w:b/>
                <w:sz w:val="20"/>
                <w:szCs w:val="20"/>
                <w:lang w:val="en-GB"/>
              </w:rPr>
            </w:pPr>
            <w:r w:rsidRPr="00633B89">
              <w:rPr>
                <w:b/>
                <w:sz w:val="20"/>
                <w:szCs w:val="20"/>
                <w:lang w:val="en-GB"/>
              </w:rPr>
              <w:t>122,035</w:t>
            </w:r>
          </w:p>
        </w:tc>
      </w:tr>
      <w:tr w:rsidR="00B83890" w:rsidRPr="00633B89" w:rsidTr="006E6DC8">
        <w:trPr>
          <w:cantSplit/>
          <w:trHeight w:val="255"/>
        </w:trPr>
        <w:tc>
          <w:tcPr>
            <w:tcW w:w="4709" w:type="dxa"/>
            <w:tcBorders>
              <w:top w:val="single" w:sz="4" w:space="0" w:color="auto"/>
            </w:tcBorders>
            <w:vAlign w:val="center"/>
          </w:tcPr>
          <w:p w:rsidR="00B83890" w:rsidRPr="00633B89" w:rsidRDefault="00B83890" w:rsidP="006E6DC8">
            <w:pPr>
              <w:pStyle w:val="Heading3"/>
              <w:rPr>
                <w:i/>
                <w:sz w:val="20"/>
                <w:szCs w:val="20"/>
              </w:rPr>
            </w:pPr>
            <w:r w:rsidRPr="00633B89">
              <w:rPr>
                <w:sz w:val="20"/>
                <w:szCs w:val="20"/>
              </w:rPr>
              <w:t>Payments</w:t>
            </w:r>
          </w:p>
        </w:tc>
        <w:tc>
          <w:tcPr>
            <w:tcW w:w="850" w:type="dxa"/>
            <w:tcBorders>
              <w:top w:val="single" w:sz="4" w:space="0" w:color="auto"/>
            </w:tcBorders>
            <w:vAlign w:val="center"/>
          </w:tcPr>
          <w:p w:rsidR="00B83890" w:rsidRPr="00633B89" w:rsidRDefault="00B83890" w:rsidP="006E6DC8">
            <w:pPr>
              <w:jc w:val="center"/>
              <w:rPr>
                <w:b/>
                <w:i/>
                <w:sz w:val="20"/>
                <w:szCs w:val="20"/>
                <w:lang w:val="en-GB"/>
              </w:rPr>
            </w:pPr>
          </w:p>
        </w:tc>
        <w:tc>
          <w:tcPr>
            <w:tcW w:w="1985" w:type="dxa"/>
            <w:tcBorders>
              <w:top w:val="single" w:sz="4" w:space="0" w:color="auto"/>
            </w:tcBorders>
            <w:vAlign w:val="center"/>
          </w:tcPr>
          <w:p w:rsidR="00B83890" w:rsidRPr="00633B89" w:rsidRDefault="00B83890" w:rsidP="006E6DC8">
            <w:pPr>
              <w:jc w:val="right"/>
              <w:rPr>
                <w:sz w:val="20"/>
                <w:szCs w:val="20"/>
                <w:lang w:val="en-GB"/>
              </w:rPr>
            </w:pPr>
          </w:p>
        </w:tc>
        <w:tc>
          <w:tcPr>
            <w:tcW w:w="1417" w:type="dxa"/>
            <w:tcBorders>
              <w:top w:val="single" w:sz="4" w:space="0" w:color="auto"/>
            </w:tcBorders>
            <w:vAlign w:val="center"/>
          </w:tcPr>
          <w:p w:rsidR="00B83890" w:rsidRPr="00633B89" w:rsidRDefault="00B83890" w:rsidP="006E6DC8">
            <w:pPr>
              <w:jc w:val="right"/>
              <w:rPr>
                <w:sz w:val="20"/>
                <w:szCs w:val="20"/>
                <w:lang w:val="en-GB"/>
              </w:rPr>
            </w:pPr>
          </w:p>
        </w:tc>
      </w:tr>
      <w:tr w:rsidR="00B83890" w:rsidRPr="00633B89" w:rsidTr="006E6DC8">
        <w:trPr>
          <w:cantSplit/>
          <w:trHeight w:val="255"/>
        </w:trPr>
        <w:tc>
          <w:tcPr>
            <w:tcW w:w="4709" w:type="dxa"/>
            <w:vAlign w:val="center"/>
          </w:tcPr>
          <w:p w:rsidR="00B83890" w:rsidRPr="00633B89" w:rsidRDefault="00B83890" w:rsidP="006E6DC8">
            <w:pPr>
              <w:ind w:left="720"/>
              <w:rPr>
                <w:sz w:val="20"/>
                <w:szCs w:val="20"/>
                <w:lang w:val="en-GB"/>
              </w:rPr>
            </w:pPr>
            <w:r w:rsidRPr="00633B89">
              <w:rPr>
                <w:sz w:val="20"/>
                <w:szCs w:val="20"/>
                <w:lang w:val="en-GB"/>
              </w:rPr>
              <w:t>Salaries and Associated Costs</w:t>
            </w:r>
          </w:p>
        </w:tc>
        <w:tc>
          <w:tcPr>
            <w:tcW w:w="850" w:type="dxa"/>
            <w:vAlign w:val="center"/>
          </w:tcPr>
          <w:p w:rsidR="00B83890" w:rsidRPr="00633B89" w:rsidRDefault="00B83890" w:rsidP="006E6DC8">
            <w:pPr>
              <w:jc w:val="center"/>
              <w:rPr>
                <w:sz w:val="20"/>
                <w:szCs w:val="20"/>
                <w:lang w:val="en-GB"/>
              </w:rPr>
            </w:pPr>
          </w:p>
        </w:tc>
        <w:tc>
          <w:tcPr>
            <w:tcW w:w="1985" w:type="dxa"/>
            <w:vAlign w:val="center"/>
          </w:tcPr>
          <w:p w:rsidR="00B83890" w:rsidRPr="00633B89" w:rsidRDefault="00B83890" w:rsidP="006E6DC8">
            <w:pPr>
              <w:jc w:val="right"/>
              <w:rPr>
                <w:sz w:val="20"/>
                <w:szCs w:val="20"/>
                <w:lang w:val="en-GB"/>
              </w:rPr>
            </w:pPr>
            <w:r w:rsidRPr="00633B89">
              <w:rPr>
                <w:sz w:val="20"/>
                <w:szCs w:val="20"/>
                <w:lang w:val="en-GB"/>
              </w:rPr>
              <w:t>(39,773)</w:t>
            </w:r>
          </w:p>
        </w:tc>
        <w:tc>
          <w:tcPr>
            <w:tcW w:w="1417" w:type="dxa"/>
            <w:vAlign w:val="center"/>
          </w:tcPr>
          <w:p w:rsidR="00B83890" w:rsidRPr="00633B89" w:rsidRDefault="00B83890" w:rsidP="006E6DC8">
            <w:pPr>
              <w:jc w:val="right"/>
              <w:rPr>
                <w:sz w:val="20"/>
                <w:szCs w:val="20"/>
                <w:lang w:val="en-GB"/>
              </w:rPr>
            </w:pPr>
            <w:r w:rsidRPr="00633B89">
              <w:rPr>
                <w:sz w:val="20"/>
                <w:szCs w:val="20"/>
                <w:lang w:val="en-GB"/>
              </w:rPr>
              <w:t>(38,772)</w:t>
            </w:r>
          </w:p>
        </w:tc>
      </w:tr>
      <w:tr w:rsidR="00B83890" w:rsidRPr="00633B89" w:rsidTr="006E6DC8">
        <w:trPr>
          <w:cantSplit/>
          <w:trHeight w:val="255"/>
        </w:trPr>
        <w:tc>
          <w:tcPr>
            <w:tcW w:w="4709" w:type="dxa"/>
            <w:vAlign w:val="center"/>
          </w:tcPr>
          <w:p w:rsidR="00B83890" w:rsidRPr="00633B89" w:rsidRDefault="00B83890" w:rsidP="006E6DC8">
            <w:pPr>
              <w:ind w:left="720"/>
              <w:rPr>
                <w:sz w:val="20"/>
                <w:szCs w:val="20"/>
                <w:lang w:val="en-GB"/>
              </w:rPr>
            </w:pPr>
            <w:r w:rsidRPr="00633B89">
              <w:rPr>
                <w:sz w:val="20"/>
                <w:szCs w:val="20"/>
                <w:lang w:val="en-GB"/>
              </w:rPr>
              <w:t>Operating Expenses</w:t>
            </w:r>
          </w:p>
        </w:tc>
        <w:tc>
          <w:tcPr>
            <w:tcW w:w="850" w:type="dxa"/>
            <w:vAlign w:val="center"/>
          </w:tcPr>
          <w:p w:rsidR="00B83890" w:rsidRPr="00633B89" w:rsidRDefault="00B83890" w:rsidP="006E6DC8">
            <w:pPr>
              <w:jc w:val="center"/>
              <w:rPr>
                <w:sz w:val="20"/>
                <w:szCs w:val="20"/>
                <w:lang w:val="en-GB"/>
              </w:rPr>
            </w:pPr>
          </w:p>
        </w:tc>
        <w:tc>
          <w:tcPr>
            <w:tcW w:w="1985" w:type="dxa"/>
            <w:vAlign w:val="center"/>
          </w:tcPr>
          <w:p w:rsidR="00B83890" w:rsidRPr="00633B89" w:rsidRDefault="00B83890" w:rsidP="006E6DC8">
            <w:pPr>
              <w:jc w:val="right"/>
              <w:rPr>
                <w:sz w:val="20"/>
                <w:szCs w:val="20"/>
                <w:lang w:val="en-GB"/>
              </w:rPr>
            </w:pPr>
            <w:r w:rsidRPr="00633B89">
              <w:rPr>
                <w:sz w:val="20"/>
                <w:szCs w:val="20"/>
                <w:lang w:val="en-GB"/>
              </w:rPr>
              <w:t>(60,701)</w:t>
            </w:r>
          </w:p>
        </w:tc>
        <w:tc>
          <w:tcPr>
            <w:tcW w:w="1417" w:type="dxa"/>
            <w:vAlign w:val="center"/>
          </w:tcPr>
          <w:p w:rsidR="00B83890" w:rsidRPr="00633B89" w:rsidRDefault="00B83890" w:rsidP="006E6DC8">
            <w:pPr>
              <w:jc w:val="right"/>
              <w:rPr>
                <w:sz w:val="20"/>
                <w:szCs w:val="20"/>
                <w:lang w:val="en-GB"/>
              </w:rPr>
            </w:pPr>
            <w:r w:rsidRPr="00633B89">
              <w:rPr>
                <w:sz w:val="20"/>
                <w:szCs w:val="20"/>
                <w:lang w:val="en-GB"/>
              </w:rPr>
              <w:t>(55,771)</w:t>
            </w:r>
          </w:p>
        </w:tc>
      </w:tr>
      <w:tr w:rsidR="00B83890" w:rsidRPr="00633B89" w:rsidTr="006E6DC8">
        <w:trPr>
          <w:cantSplit/>
          <w:trHeight w:val="255"/>
        </w:trPr>
        <w:tc>
          <w:tcPr>
            <w:tcW w:w="4709" w:type="dxa"/>
            <w:vAlign w:val="center"/>
          </w:tcPr>
          <w:p w:rsidR="00B83890" w:rsidRPr="00633B89" w:rsidRDefault="00B83890" w:rsidP="006E6DC8">
            <w:pPr>
              <w:ind w:left="720"/>
              <w:rPr>
                <w:sz w:val="20"/>
                <w:szCs w:val="20"/>
                <w:lang w:val="en-GB"/>
              </w:rPr>
            </w:pPr>
            <w:r w:rsidRPr="00633B89">
              <w:rPr>
                <w:sz w:val="20"/>
                <w:szCs w:val="20"/>
                <w:lang w:val="en-GB"/>
              </w:rPr>
              <w:t>Building and Facilities</w:t>
            </w:r>
          </w:p>
        </w:tc>
        <w:tc>
          <w:tcPr>
            <w:tcW w:w="850" w:type="dxa"/>
            <w:vAlign w:val="center"/>
          </w:tcPr>
          <w:p w:rsidR="00B83890" w:rsidRPr="00633B89" w:rsidRDefault="00B83890" w:rsidP="006E6DC8">
            <w:pPr>
              <w:jc w:val="center"/>
              <w:rPr>
                <w:sz w:val="20"/>
                <w:szCs w:val="20"/>
                <w:lang w:val="en-GB"/>
              </w:rPr>
            </w:pPr>
          </w:p>
        </w:tc>
        <w:tc>
          <w:tcPr>
            <w:tcW w:w="1985" w:type="dxa"/>
            <w:vAlign w:val="center"/>
          </w:tcPr>
          <w:p w:rsidR="00B83890" w:rsidRPr="00633B89" w:rsidRDefault="00B83890" w:rsidP="006E6DC8">
            <w:pPr>
              <w:jc w:val="right"/>
              <w:rPr>
                <w:sz w:val="20"/>
                <w:szCs w:val="20"/>
                <w:lang w:val="en-GB"/>
              </w:rPr>
            </w:pPr>
            <w:r w:rsidRPr="00633B89">
              <w:rPr>
                <w:sz w:val="20"/>
                <w:szCs w:val="20"/>
                <w:lang w:val="en-GB"/>
              </w:rPr>
              <w:t>(13,921)</w:t>
            </w:r>
          </w:p>
        </w:tc>
        <w:tc>
          <w:tcPr>
            <w:tcW w:w="1417" w:type="dxa"/>
            <w:vAlign w:val="center"/>
          </w:tcPr>
          <w:p w:rsidR="00B83890" w:rsidRPr="00633B89" w:rsidRDefault="00B83890" w:rsidP="006E6DC8">
            <w:pPr>
              <w:jc w:val="right"/>
              <w:rPr>
                <w:sz w:val="20"/>
                <w:szCs w:val="20"/>
                <w:lang w:val="en-GB"/>
              </w:rPr>
            </w:pPr>
            <w:r w:rsidRPr="00633B89">
              <w:rPr>
                <w:sz w:val="20"/>
                <w:szCs w:val="20"/>
                <w:lang w:val="en-GB"/>
              </w:rPr>
              <w:t>(13,007)</w:t>
            </w:r>
          </w:p>
        </w:tc>
      </w:tr>
      <w:tr w:rsidR="00B83890" w:rsidRPr="00633B89" w:rsidTr="006E6DC8">
        <w:trPr>
          <w:cantSplit/>
          <w:trHeight w:val="255"/>
        </w:trPr>
        <w:tc>
          <w:tcPr>
            <w:tcW w:w="4709" w:type="dxa"/>
            <w:vAlign w:val="center"/>
          </w:tcPr>
          <w:p w:rsidR="00B83890" w:rsidRPr="00633B89" w:rsidRDefault="00B83890" w:rsidP="006E6DC8">
            <w:pPr>
              <w:ind w:left="720"/>
              <w:rPr>
                <w:sz w:val="20"/>
                <w:szCs w:val="20"/>
                <w:lang w:val="en-GB"/>
              </w:rPr>
            </w:pPr>
            <w:r w:rsidRPr="00633B89">
              <w:rPr>
                <w:sz w:val="20"/>
                <w:szCs w:val="20"/>
                <w:lang w:val="en-GB"/>
              </w:rPr>
              <w:t>Cost of Goods for Resale</w:t>
            </w:r>
          </w:p>
        </w:tc>
        <w:tc>
          <w:tcPr>
            <w:tcW w:w="850" w:type="dxa"/>
            <w:vAlign w:val="center"/>
          </w:tcPr>
          <w:p w:rsidR="00B83890" w:rsidRPr="00633B89" w:rsidRDefault="00B83890" w:rsidP="006E6DC8">
            <w:pPr>
              <w:jc w:val="center"/>
              <w:rPr>
                <w:sz w:val="20"/>
                <w:szCs w:val="20"/>
                <w:lang w:val="en-GB"/>
              </w:rPr>
            </w:pPr>
          </w:p>
        </w:tc>
        <w:tc>
          <w:tcPr>
            <w:tcW w:w="1985" w:type="dxa"/>
            <w:vAlign w:val="center"/>
          </w:tcPr>
          <w:p w:rsidR="00B83890" w:rsidRPr="00633B89" w:rsidRDefault="00B83890" w:rsidP="006E6DC8">
            <w:pPr>
              <w:jc w:val="right"/>
              <w:rPr>
                <w:sz w:val="20"/>
                <w:szCs w:val="20"/>
                <w:lang w:val="en-GB"/>
              </w:rPr>
            </w:pPr>
            <w:r w:rsidRPr="00633B89">
              <w:rPr>
                <w:sz w:val="20"/>
                <w:szCs w:val="20"/>
                <w:lang w:val="en-GB"/>
              </w:rPr>
              <w:t>(1,782)</w:t>
            </w:r>
          </w:p>
        </w:tc>
        <w:tc>
          <w:tcPr>
            <w:tcW w:w="1417" w:type="dxa"/>
            <w:vAlign w:val="center"/>
          </w:tcPr>
          <w:p w:rsidR="00B83890" w:rsidRPr="00633B89" w:rsidRDefault="00B83890" w:rsidP="006E6DC8">
            <w:pPr>
              <w:jc w:val="right"/>
              <w:rPr>
                <w:sz w:val="20"/>
                <w:szCs w:val="20"/>
                <w:lang w:val="en-GB"/>
              </w:rPr>
            </w:pPr>
            <w:r w:rsidRPr="00633B89">
              <w:rPr>
                <w:sz w:val="20"/>
                <w:szCs w:val="20"/>
                <w:lang w:val="en-GB"/>
              </w:rPr>
              <w:t>(1,936)</w:t>
            </w:r>
          </w:p>
        </w:tc>
      </w:tr>
      <w:tr w:rsidR="00B83890" w:rsidRPr="00633B89" w:rsidTr="006E6DC8">
        <w:trPr>
          <w:cantSplit/>
          <w:trHeight w:val="255"/>
        </w:trPr>
        <w:tc>
          <w:tcPr>
            <w:tcW w:w="4709" w:type="dxa"/>
            <w:vAlign w:val="center"/>
          </w:tcPr>
          <w:p w:rsidR="00B83890" w:rsidRPr="00633B89" w:rsidRDefault="00B83890" w:rsidP="006E6DC8">
            <w:pPr>
              <w:ind w:left="720"/>
              <w:rPr>
                <w:sz w:val="20"/>
                <w:szCs w:val="20"/>
                <w:lang w:val="en-GB"/>
              </w:rPr>
            </w:pPr>
            <w:r w:rsidRPr="00633B89">
              <w:rPr>
                <w:sz w:val="20"/>
                <w:szCs w:val="20"/>
                <w:lang w:val="en-GB"/>
              </w:rPr>
              <w:t>Finance Costs</w:t>
            </w:r>
          </w:p>
        </w:tc>
        <w:tc>
          <w:tcPr>
            <w:tcW w:w="850" w:type="dxa"/>
            <w:vAlign w:val="center"/>
          </w:tcPr>
          <w:p w:rsidR="00B83890" w:rsidRPr="00633B89" w:rsidRDefault="00B83890" w:rsidP="006E6DC8">
            <w:pPr>
              <w:jc w:val="center"/>
              <w:rPr>
                <w:sz w:val="20"/>
                <w:szCs w:val="20"/>
                <w:lang w:val="en-GB"/>
              </w:rPr>
            </w:pPr>
          </w:p>
        </w:tc>
        <w:tc>
          <w:tcPr>
            <w:tcW w:w="1985" w:type="dxa"/>
            <w:vAlign w:val="center"/>
          </w:tcPr>
          <w:p w:rsidR="00B83890" w:rsidRPr="00633B89" w:rsidRDefault="00B83890" w:rsidP="006E6DC8">
            <w:pPr>
              <w:jc w:val="right"/>
              <w:rPr>
                <w:sz w:val="20"/>
                <w:szCs w:val="20"/>
                <w:lang w:val="en-GB"/>
              </w:rPr>
            </w:pPr>
            <w:r w:rsidRPr="00633B89">
              <w:rPr>
                <w:sz w:val="20"/>
                <w:szCs w:val="20"/>
                <w:lang w:val="en-GB"/>
              </w:rPr>
              <w:t>(20)</w:t>
            </w:r>
          </w:p>
        </w:tc>
        <w:tc>
          <w:tcPr>
            <w:tcW w:w="1417" w:type="dxa"/>
            <w:vAlign w:val="center"/>
          </w:tcPr>
          <w:p w:rsidR="00B83890" w:rsidRPr="00633B89" w:rsidRDefault="00B83890" w:rsidP="006E6DC8">
            <w:pPr>
              <w:jc w:val="right"/>
              <w:rPr>
                <w:sz w:val="20"/>
                <w:szCs w:val="20"/>
                <w:lang w:val="en-GB"/>
              </w:rPr>
            </w:pPr>
            <w:r w:rsidRPr="00633B89">
              <w:rPr>
                <w:sz w:val="20"/>
                <w:szCs w:val="20"/>
                <w:lang w:val="en-GB"/>
              </w:rPr>
              <w:t>(26)</w:t>
            </w:r>
          </w:p>
        </w:tc>
      </w:tr>
      <w:tr w:rsidR="00B83890" w:rsidRPr="00633B89" w:rsidTr="006E6DC8">
        <w:trPr>
          <w:cantSplit/>
          <w:trHeight w:val="255"/>
        </w:trPr>
        <w:tc>
          <w:tcPr>
            <w:tcW w:w="4709" w:type="dxa"/>
            <w:vAlign w:val="center"/>
          </w:tcPr>
          <w:p w:rsidR="00B83890" w:rsidRPr="00633B89" w:rsidRDefault="00B83890" w:rsidP="006E6DC8">
            <w:pPr>
              <w:ind w:left="720"/>
              <w:rPr>
                <w:sz w:val="20"/>
                <w:szCs w:val="20"/>
                <w:lang w:val="en-GB"/>
              </w:rPr>
            </w:pPr>
            <w:r w:rsidRPr="00633B89">
              <w:rPr>
                <w:sz w:val="20"/>
                <w:szCs w:val="20"/>
                <w:lang w:val="en-GB"/>
              </w:rPr>
              <w:t>Goods and Services Tax on Expenditure</w:t>
            </w:r>
          </w:p>
        </w:tc>
        <w:tc>
          <w:tcPr>
            <w:tcW w:w="850" w:type="dxa"/>
            <w:vAlign w:val="center"/>
          </w:tcPr>
          <w:p w:rsidR="00B83890" w:rsidRPr="00633B89" w:rsidRDefault="00B83890" w:rsidP="006E6DC8">
            <w:pPr>
              <w:jc w:val="center"/>
              <w:rPr>
                <w:sz w:val="20"/>
                <w:szCs w:val="20"/>
                <w:lang w:val="en-GB"/>
              </w:rPr>
            </w:pPr>
          </w:p>
        </w:tc>
        <w:tc>
          <w:tcPr>
            <w:tcW w:w="1985" w:type="dxa"/>
            <w:vAlign w:val="center"/>
          </w:tcPr>
          <w:p w:rsidR="00B83890" w:rsidRPr="00633B89" w:rsidRDefault="00B83890" w:rsidP="006E6DC8">
            <w:pPr>
              <w:jc w:val="right"/>
              <w:rPr>
                <w:sz w:val="20"/>
                <w:szCs w:val="20"/>
                <w:lang w:val="en-GB"/>
              </w:rPr>
            </w:pPr>
            <w:r w:rsidRPr="00633B89">
              <w:rPr>
                <w:sz w:val="20"/>
                <w:szCs w:val="20"/>
                <w:lang w:val="en-GB"/>
              </w:rPr>
              <w:t>(3,590)</w:t>
            </w:r>
          </w:p>
        </w:tc>
        <w:tc>
          <w:tcPr>
            <w:tcW w:w="1417" w:type="dxa"/>
            <w:vAlign w:val="center"/>
          </w:tcPr>
          <w:p w:rsidR="00B83890" w:rsidRPr="00633B89" w:rsidRDefault="00B83890" w:rsidP="006E6DC8">
            <w:pPr>
              <w:jc w:val="right"/>
              <w:rPr>
                <w:sz w:val="20"/>
                <w:szCs w:val="20"/>
                <w:lang w:val="en-GB"/>
              </w:rPr>
            </w:pPr>
            <w:r w:rsidRPr="00633B89">
              <w:rPr>
                <w:sz w:val="20"/>
                <w:szCs w:val="20"/>
                <w:lang w:val="en-GB"/>
              </w:rPr>
              <w:t>(3,565)</w:t>
            </w:r>
          </w:p>
        </w:tc>
      </w:tr>
      <w:tr w:rsidR="00B83890" w:rsidRPr="00633B89" w:rsidTr="006E6DC8">
        <w:trPr>
          <w:cantSplit/>
          <w:trHeight w:val="255"/>
        </w:trPr>
        <w:tc>
          <w:tcPr>
            <w:tcW w:w="4709" w:type="dxa"/>
            <w:tcBorders>
              <w:bottom w:val="single" w:sz="4" w:space="0" w:color="auto"/>
            </w:tcBorders>
            <w:vAlign w:val="center"/>
          </w:tcPr>
          <w:p w:rsidR="00B83890" w:rsidRPr="00633B89" w:rsidRDefault="00B83890" w:rsidP="006E6DC8">
            <w:pPr>
              <w:ind w:left="720"/>
              <w:rPr>
                <w:sz w:val="20"/>
                <w:szCs w:val="20"/>
                <w:lang w:val="en-GB"/>
              </w:rPr>
            </w:pPr>
          </w:p>
        </w:tc>
        <w:tc>
          <w:tcPr>
            <w:tcW w:w="850" w:type="dxa"/>
            <w:tcBorders>
              <w:bottom w:val="single" w:sz="4" w:space="0" w:color="auto"/>
            </w:tcBorders>
            <w:vAlign w:val="center"/>
          </w:tcPr>
          <w:p w:rsidR="00B83890" w:rsidRPr="00633B89" w:rsidRDefault="00B83890" w:rsidP="006E6DC8">
            <w:pPr>
              <w:jc w:val="center"/>
              <w:rPr>
                <w:sz w:val="20"/>
                <w:szCs w:val="20"/>
                <w:lang w:val="en-GB"/>
              </w:rPr>
            </w:pPr>
          </w:p>
        </w:tc>
        <w:tc>
          <w:tcPr>
            <w:tcW w:w="1985" w:type="dxa"/>
            <w:tcBorders>
              <w:bottom w:val="single" w:sz="4" w:space="0" w:color="auto"/>
            </w:tcBorders>
            <w:vAlign w:val="center"/>
          </w:tcPr>
          <w:p w:rsidR="00B83890" w:rsidRPr="00633B89" w:rsidRDefault="00B83890" w:rsidP="006E6DC8">
            <w:pPr>
              <w:jc w:val="right"/>
              <w:rPr>
                <w:sz w:val="20"/>
                <w:szCs w:val="20"/>
                <w:lang w:val="en-GB"/>
              </w:rPr>
            </w:pPr>
          </w:p>
        </w:tc>
        <w:tc>
          <w:tcPr>
            <w:tcW w:w="1417" w:type="dxa"/>
            <w:tcBorders>
              <w:bottom w:val="single" w:sz="4" w:space="0" w:color="auto"/>
            </w:tcBorders>
            <w:vAlign w:val="center"/>
          </w:tcPr>
          <w:p w:rsidR="00B83890" w:rsidRPr="00633B89" w:rsidRDefault="00B83890" w:rsidP="006E6DC8">
            <w:pPr>
              <w:jc w:val="right"/>
              <w:rPr>
                <w:sz w:val="20"/>
                <w:szCs w:val="20"/>
                <w:lang w:val="en-GB"/>
              </w:rPr>
            </w:pPr>
          </w:p>
        </w:tc>
      </w:tr>
      <w:tr w:rsidR="00B83890" w:rsidRPr="00633B89" w:rsidTr="006E6DC8">
        <w:trPr>
          <w:cantSplit/>
          <w:trHeight w:val="255"/>
        </w:trPr>
        <w:tc>
          <w:tcPr>
            <w:tcW w:w="4709" w:type="dxa"/>
            <w:tcBorders>
              <w:top w:val="single" w:sz="4" w:space="0" w:color="auto"/>
              <w:bottom w:val="single" w:sz="4" w:space="0" w:color="auto"/>
            </w:tcBorders>
            <w:vAlign w:val="center"/>
          </w:tcPr>
          <w:p w:rsidR="00B83890" w:rsidRPr="00633B89" w:rsidRDefault="00B83890" w:rsidP="006E6DC8">
            <w:pPr>
              <w:pStyle w:val="total"/>
              <w:rPr>
                <w:color w:val="auto"/>
                <w:sz w:val="20"/>
              </w:rPr>
            </w:pPr>
            <w:r w:rsidRPr="00633B89">
              <w:rPr>
                <w:caps w:val="0"/>
                <w:color w:val="auto"/>
                <w:sz w:val="20"/>
              </w:rPr>
              <w:t>Total Payments</w:t>
            </w:r>
          </w:p>
        </w:tc>
        <w:tc>
          <w:tcPr>
            <w:tcW w:w="850" w:type="dxa"/>
            <w:tcBorders>
              <w:top w:val="single" w:sz="4" w:space="0" w:color="auto"/>
              <w:bottom w:val="single" w:sz="4" w:space="0" w:color="auto"/>
            </w:tcBorders>
            <w:vAlign w:val="center"/>
          </w:tcPr>
          <w:p w:rsidR="00B83890" w:rsidRPr="00633B89" w:rsidRDefault="00B83890" w:rsidP="006E6DC8">
            <w:pPr>
              <w:jc w:val="center"/>
              <w:rPr>
                <w:b/>
                <w:i/>
                <w:sz w:val="20"/>
                <w:szCs w:val="20"/>
                <w:lang w:val="en-GB"/>
              </w:rPr>
            </w:pPr>
          </w:p>
        </w:tc>
        <w:tc>
          <w:tcPr>
            <w:tcW w:w="1985" w:type="dxa"/>
            <w:tcBorders>
              <w:top w:val="single" w:sz="4" w:space="0" w:color="auto"/>
              <w:bottom w:val="single" w:sz="4" w:space="0" w:color="auto"/>
            </w:tcBorders>
            <w:vAlign w:val="center"/>
          </w:tcPr>
          <w:p w:rsidR="00B83890" w:rsidRPr="00633B89" w:rsidRDefault="00B83890" w:rsidP="006E6DC8">
            <w:pPr>
              <w:jc w:val="right"/>
              <w:rPr>
                <w:b/>
                <w:sz w:val="20"/>
                <w:szCs w:val="20"/>
                <w:lang w:val="en-GB"/>
              </w:rPr>
            </w:pPr>
            <w:r w:rsidRPr="00633B89">
              <w:rPr>
                <w:b/>
                <w:sz w:val="20"/>
                <w:szCs w:val="20"/>
                <w:lang w:val="en-GB"/>
              </w:rPr>
              <w:t>(119,787)</w:t>
            </w:r>
          </w:p>
        </w:tc>
        <w:tc>
          <w:tcPr>
            <w:tcW w:w="1417" w:type="dxa"/>
            <w:tcBorders>
              <w:top w:val="single" w:sz="4" w:space="0" w:color="auto"/>
              <w:bottom w:val="single" w:sz="4" w:space="0" w:color="auto"/>
            </w:tcBorders>
            <w:vAlign w:val="center"/>
          </w:tcPr>
          <w:p w:rsidR="00B83890" w:rsidRPr="00633B89" w:rsidRDefault="00B83890" w:rsidP="006E6DC8">
            <w:pPr>
              <w:jc w:val="right"/>
              <w:rPr>
                <w:b/>
                <w:sz w:val="20"/>
                <w:szCs w:val="20"/>
                <w:lang w:val="en-GB"/>
              </w:rPr>
            </w:pPr>
            <w:r w:rsidRPr="00633B89">
              <w:rPr>
                <w:b/>
                <w:sz w:val="20"/>
                <w:szCs w:val="20"/>
                <w:lang w:val="en-GB"/>
              </w:rPr>
              <w:t>(113,077)</w:t>
            </w:r>
          </w:p>
        </w:tc>
      </w:tr>
      <w:tr w:rsidR="00B83890" w:rsidRPr="00633B89" w:rsidTr="006E6DC8">
        <w:trPr>
          <w:cantSplit/>
          <w:trHeight w:val="255"/>
        </w:trPr>
        <w:tc>
          <w:tcPr>
            <w:tcW w:w="4709" w:type="dxa"/>
            <w:tcBorders>
              <w:top w:val="single" w:sz="4" w:space="0" w:color="auto"/>
              <w:bottom w:val="single" w:sz="4" w:space="0" w:color="auto"/>
            </w:tcBorders>
            <w:vAlign w:val="center"/>
          </w:tcPr>
          <w:p w:rsidR="00B83890" w:rsidRPr="00633B89" w:rsidRDefault="00B83890" w:rsidP="006E6DC8">
            <w:pPr>
              <w:pStyle w:val="total"/>
              <w:rPr>
                <w:color w:val="auto"/>
                <w:sz w:val="20"/>
              </w:rPr>
            </w:pPr>
            <w:r w:rsidRPr="00633B89">
              <w:rPr>
                <w:caps w:val="0"/>
                <w:color w:val="auto"/>
                <w:sz w:val="20"/>
              </w:rPr>
              <w:t>Net Cash Flows Provided by Operating Activities</w:t>
            </w:r>
          </w:p>
        </w:tc>
        <w:tc>
          <w:tcPr>
            <w:tcW w:w="850" w:type="dxa"/>
            <w:tcBorders>
              <w:top w:val="single" w:sz="4" w:space="0" w:color="auto"/>
              <w:bottom w:val="single" w:sz="4" w:space="0" w:color="auto"/>
            </w:tcBorders>
            <w:vAlign w:val="center"/>
          </w:tcPr>
          <w:p w:rsidR="00B83890" w:rsidRPr="00633B89" w:rsidRDefault="00B83890" w:rsidP="006E6DC8">
            <w:pPr>
              <w:jc w:val="center"/>
              <w:rPr>
                <w:sz w:val="20"/>
                <w:szCs w:val="20"/>
                <w:lang w:val="en-GB"/>
              </w:rPr>
            </w:pPr>
            <w:r w:rsidRPr="00633B89">
              <w:rPr>
                <w:sz w:val="20"/>
                <w:szCs w:val="20"/>
                <w:lang w:val="en-GB"/>
              </w:rPr>
              <w:t>15(b)</w:t>
            </w:r>
          </w:p>
        </w:tc>
        <w:tc>
          <w:tcPr>
            <w:tcW w:w="1985" w:type="dxa"/>
            <w:tcBorders>
              <w:top w:val="single" w:sz="4" w:space="0" w:color="auto"/>
              <w:bottom w:val="single" w:sz="4" w:space="0" w:color="auto"/>
            </w:tcBorders>
            <w:vAlign w:val="center"/>
          </w:tcPr>
          <w:p w:rsidR="00B83890" w:rsidRPr="00633B89" w:rsidRDefault="00B83890" w:rsidP="006E6DC8">
            <w:pPr>
              <w:jc w:val="right"/>
              <w:rPr>
                <w:b/>
                <w:sz w:val="20"/>
                <w:szCs w:val="20"/>
                <w:lang w:val="en-GB"/>
              </w:rPr>
            </w:pPr>
            <w:r w:rsidRPr="00633B89">
              <w:rPr>
                <w:b/>
                <w:sz w:val="20"/>
                <w:szCs w:val="20"/>
                <w:lang w:val="en-GB"/>
              </w:rPr>
              <w:t>1,679</w:t>
            </w:r>
          </w:p>
        </w:tc>
        <w:tc>
          <w:tcPr>
            <w:tcW w:w="1417" w:type="dxa"/>
            <w:tcBorders>
              <w:top w:val="single" w:sz="4" w:space="0" w:color="auto"/>
              <w:bottom w:val="single" w:sz="4" w:space="0" w:color="auto"/>
            </w:tcBorders>
            <w:vAlign w:val="center"/>
          </w:tcPr>
          <w:p w:rsidR="00B83890" w:rsidRPr="00633B89" w:rsidRDefault="00B83890" w:rsidP="006E6DC8">
            <w:pPr>
              <w:jc w:val="right"/>
              <w:rPr>
                <w:b/>
                <w:sz w:val="20"/>
                <w:szCs w:val="20"/>
                <w:lang w:val="en-GB"/>
              </w:rPr>
            </w:pPr>
            <w:r w:rsidRPr="00633B89">
              <w:rPr>
                <w:b/>
                <w:sz w:val="20"/>
                <w:szCs w:val="20"/>
                <w:lang w:val="en-GB"/>
              </w:rPr>
              <w:t>8,958</w:t>
            </w:r>
          </w:p>
        </w:tc>
      </w:tr>
      <w:tr w:rsidR="00B83890" w:rsidRPr="00633B89" w:rsidTr="006E6DC8">
        <w:trPr>
          <w:cantSplit/>
          <w:trHeight w:val="255"/>
        </w:trPr>
        <w:tc>
          <w:tcPr>
            <w:tcW w:w="4709" w:type="dxa"/>
            <w:tcBorders>
              <w:top w:val="single" w:sz="4" w:space="0" w:color="auto"/>
            </w:tcBorders>
            <w:vAlign w:val="center"/>
          </w:tcPr>
          <w:p w:rsidR="00B83890" w:rsidRPr="00633B89" w:rsidRDefault="00B83890" w:rsidP="006E6DC8">
            <w:pPr>
              <w:rPr>
                <w:b/>
                <w:i/>
                <w:sz w:val="20"/>
                <w:szCs w:val="20"/>
                <w:lang w:val="en-GB"/>
              </w:rPr>
            </w:pPr>
          </w:p>
        </w:tc>
        <w:tc>
          <w:tcPr>
            <w:tcW w:w="850" w:type="dxa"/>
            <w:tcBorders>
              <w:top w:val="single" w:sz="4" w:space="0" w:color="auto"/>
            </w:tcBorders>
            <w:vAlign w:val="center"/>
          </w:tcPr>
          <w:p w:rsidR="00B83890" w:rsidRPr="00633B89" w:rsidRDefault="00B83890" w:rsidP="006E6DC8">
            <w:pPr>
              <w:jc w:val="center"/>
              <w:rPr>
                <w:i/>
                <w:sz w:val="20"/>
                <w:szCs w:val="20"/>
                <w:lang w:val="en-GB"/>
              </w:rPr>
            </w:pPr>
          </w:p>
        </w:tc>
        <w:tc>
          <w:tcPr>
            <w:tcW w:w="1985" w:type="dxa"/>
            <w:tcBorders>
              <w:top w:val="single" w:sz="4" w:space="0" w:color="auto"/>
            </w:tcBorders>
            <w:vAlign w:val="center"/>
          </w:tcPr>
          <w:p w:rsidR="00B83890" w:rsidRPr="00633B89" w:rsidRDefault="00B83890" w:rsidP="006E6DC8">
            <w:pPr>
              <w:jc w:val="right"/>
              <w:rPr>
                <w:sz w:val="20"/>
                <w:szCs w:val="20"/>
                <w:lang w:val="en-GB"/>
              </w:rPr>
            </w:pPr>
          </w:p>
        </w:tc>
        <w:tc>
          <w:tcPr>
            <w:tcW w:w="1417" w:type="dxa"/>
            <w:tcBorders>
              <w:top w:val="single" w:sz="4" w:space="0" w:color="auto"/>
            </w:tcBorders>
            <w:vAlign w:val="center"/>
          </w:tcPr>
          <w:p w:rsidR="00B83890" w:rsidRPr="00633B89" w:rsidRDefault="00B83890" w:rsidP="006E6DC8">
            <w:pPr>
              <w:jc w:val="right"/>
              <w:rPr>
                <w:sz w:val="20"/>
                <w:szCs w:val="20"/>
                <w:lang w:val="en-GB"/>
              </w:rPr>
            </w:pPr>
          </w:p>
        </w:tc>
      </w:tr>
      <w:tr w:rsidR="00B83890" w:rsidRPr="00633B89" w:rsidTr="006E6DC8">
        <w:trPr>
          <w:cantSplit/>
          <w:trHeight w:val="255"/>
        </w:trPr>
        <w:tc>
          <w:tcPr>
            <w:tcW w:w="4709" w:type="dxa"/>
            <w:vAlign w:val="center"/>
          </w:tcPr>
          <w:p w:rsidR="00B83890" w:rsidRPr="00633B89" w:rsidRDefault="00B83890" w:rsidP="006E6DC8">
            <w:pPr>
              <w:pStyle w:val="Heading3"/>
              <w:rPr>
                <w:i/>
                <w:sz w:val="20"/>
                <w:szCs w:val="20"/>
              </w:rPr>
            </w:pPr>
            <w:r w:rsidRPr="00633B89">
              <w:rPr>
                <w:sz w:val="20"/>
                <w:szCs w:val="20"/>
              </w:rPr>
              <w:t>Cash Flows from Investing Activities</w:t>
            </w:r>
          </w:p>
          <w:p w:rsidR="00B83890" w:rsidRPr="00633B89" w:rsidRDefault="00B83890" w:rsidP="006E6DC8">
            <w:pPr>
              <w:pStyle w:val="Heading3"/>
              <w:rPr>
                <w:i/>
                <w:sz w:val="20"/>
                <w:szCs w:val="20"/>
              </w:rPr>
            </w:pPr>
          </w:p>
          <w:p w:rsidR="00B83890" w:rsidRPr="00633B89" w:rsidRDefault="00B83890" w:rsidP="006E6DC8">
            <w:pPr>
              <w:pStyle w:val="Heading3"/>
              <w:rPr>
                <w:i/>
                <w:sz w:val="20"/>
                <w:szCs w:val="20"/>
              </w:rPr>
            </w:pPr>
            <w:r w:rsidRPr="00633B89">
              <w:rPr>
                <w:sz w:val="20"/>
                <w:szCs w:val="20"/>
              </w:rPr>
              <w:t>Receipts for Non-Current Physical Assets</w:t>
            </w:r>
          </w:p>
        </w:tc>
        <w:tc>
          <w:tcPr>
            <w:tcW w:w="850" w:type="dxa"/>
            <w:vAlign w:val="center"/>
          </w:tcPr>
          <w:p w:rsidR="00B83890" w:rsidRPr="00633B89" w:rsidRDefault="00B83890" w:rsidP="006E6DC8">
            <w:pPr>
              <w:jc w:val="center"/>
              <w:rPr>
                <w:b/>
                <w:i/>
                <w:sz w:val="20"/>
                <w:szCs w:val="20"/>
                <w:lang w:val="en-GB"/>
              </w:rPr>
            </w:pPr>
          </w:p>
        </w:tc>
        <w:tc>
          <w:tcPr>
            <w:tcW w:w="1985" w:type="dxa"/>
            <w:vAlign w:val="center"/>
          </w:tcPr>
          <w:p w:rsidR="00B83890" w:rsidRPr="00633B89" w:rsidRDefault="00B83890" w:rsidP="006E6DC8">
            <w:pPr>
              <w:jc w:val="right"/>
              <w:rPr>
                <w:sz w:val="20"/>
                <w:szCs w:val="20"/>
                <w:lang w:val="en-GB"/>
              </w:rPr>
            </w:pPr>
          </w:p>
        </w:tc>
        <w:tc>
          <w:tcPr>
            <w:tcW w:w="1417" w:type="dxa"/>
            <w:vAlign w:val="center"/>
          </w:tcPr>
          <w:p w:rsidR="00B83890" w:rsidRPr="00633B89" w:rsidRDefault="00B83890" w:rsidP="006E6DC8">
            <w:pPr>
              <w:jc w:val="right"/>
              <w:rPr>
                <w:sz w:val="20"/>
                <w:szCs w:val="20"/>
                <w:lang w:val="en-GB"/>
              </w:rPr>
            </w:pPr>
          </w:p>
        </w:tc>
      </w:tr>
      <w:tr w:rsidR="00B83890" w:rsidRPr="00633B89" w:rsidTr="006E6DC8">
        <w:trPr>
          <w:cantSplit/>
          <w:trHeight w:val="255"/>
        </w:trPr>
        <w:tc>
          <w:tcPr>
            <w:tcW w:w="4709" w:type="dxa"/>
            <w:vAlign w:val="center"/>
          </w:tcPr>
          <w:p w:rsidR="00B83890" w:rsidRPr="00633B89" w:rsidRDefault="00B83890" w:rsidP="006E6DC8">
            <w:pPr>
              <w:ind w:left="709"/>
              <w:rPr>
                <w:sz w:val="20"/>
                <w:szCs w:val="20"/>
                <w:lang w:val="en-GB"/>
              </w:rPr>
            </w:pPr>
            <w:r w:rsidRPr="00633B89">
              <w:rPr>
                <w:sz w:val="20"/>
                <w:szCs w:val="20"/>
                <w:lang w:val="en-GB"/>
              </w:rPr>
              <w:t>Proceeds from sales of assets</w:t>
            </w:r>
          </w:p>
        </w:tc>
        <w:tc>
          <w:tcPr>
            <w:tcW w:w="850" w:type="dxa"/>
            <w:vAlign w:val="center"/>
          </w:tcPr>
          <w:p w:rsidR="00B83890" w:rsidRPr="00633B89" w:rsidRDefault="00B83890" w:rsidP="006E6DC8">
            <w:pPr>
              <w:jc w:val="center"/>
              <w:rPr>
                <w:sz w:val="20"/>
                <w:szCs w:val="20"/>
                <w:lang w:val="en-GB"/>
              </w:rPr>
            </w:pPr>
          </w:p>
        </w:tc>
        <w:tc>
          <w:tcPr>
            <w:tcW w:w="1985" w:type="dxa"/>
            <w:vAlign w:val="center"/>
          </w:tcPr>
          <w:p w:rsidR="00B83890" w:rsidRPr="00633B89" w:rsidRDefault="00B83890" w:rsidP="006E6DC8">
            <w:pPr>
              <w:jc w:val="right"/>
              <w:rPr>
                <w:sz w:val="20"/>
                <w:szCs w:val="20"/>
                <w:lang w:val="en-GB"/>
              </w:rPr>
            </w:pPr>
            <w:r w:rsidRPr="00633B89">
              <w:rPr>
                <w:sz w:val="20"/>
                <w:szCs w:val="20"/>
                <w:lang w:val="en-GB"/>
              </w:rPr>
              <w:t>26</w:t>
            </w:r>
          </w:p>
        </w:tc>
        <w:tc>
          <w:tcPr>
            <w:tcW w:w="1417" w:type="dxa"/>
            <w:vAlign w:val="center"/>
          </w:tcPr>
          <w:p w:rsidR="00B83890" w:rsidRPr="00633B89" w:rsidRDefault="00B83890" w:rsidP="006E6DC8">
            <w:pPr>
              <w:jc w:val="right"/>
              <w:rPr>
                <w:sz w:val="20"/>
                <w:szCs w:val="20"/>
                <w:lang w:val="en-GB"/>
              </w:rPr>
            </w:pPr>
            <w:r w:rsidRPr="00633B89">
              <w:rPr>
                <w:sz w:val="20"/>
                <w:szCs w:val="20"/>
                <w:lang w:val="en-GB"/>
              </w:rPr>
              <w:t>42</w:t>
            </w:r>
          </w:p>
        </w:tc>
      </w:tr>
      <w:tr w:rsidR="00B83890" w:rsidRPr="00633B89" w:rsidTr="006E6DC8">
        <w:trPr>
          <w:cantSplit/>
          <w:trHeight w:val="255"/>
        </w:trPr>
        <w:tc>
          <w:tcPr>
            <w:tcW w:w="4709" w:type="dxa"/>
            <w:vAlign w:val="center"/>
          </w:tcPr>
          <w:p w:rsidR="00B83890" w:rsidRPr="00633B89" w:rsidRDefault="00B83890" w:rsidP="006E6DC8">
            <w:pPr>
              <w:pStyle w:val="Heading3"/>
              <w:rPr>
                <w:i/>
                <w:sz w:val="20"/>
                <w:szCs w:val="20"/>
              </w:rPr>
            </w:pPr>
          </w:p>
          <w:p w:rsidR="00B83890" w:rsidRPr="00633B89" w:rsidRDefault="00B83890" w:rsidP="006E6DC8">
            <w:pPr>
              <w:pStyle w:val="Heading3"/>
              <w:rPr>
                <w:i/>
                <w:sz w:val="20"/>
                <w:szCs w:val="20"/>
              </w:rPr>
            </w:pPr>
            <w:r w:rsidRPr="00633B89">
              <w:rPr>
                <w:sz w:val="20"/>
                <w:szCs w:val="20"/>
              </w:rPr>
              <w:t>Payments for Non-Current Physical Assets</w:t>
            </w:r>
          </w:p>
        </w:tc>
        <w:tc>
          <w:tcPr>
            <w:tcW w:w="850" w:type="dxa"/>
            <w:vAlign w:val="center"/>
          </w:tcPr>
          <w:p w:rsidR="00B83890" w:rsidRPr="00633B89" w:rsidRDefault="00B83890" w:rsidP="006E6DC8">
            <w:pPr>
              <w:jc w:val="center"/>
              <w:rPr>
                <w:sz w:val="20"/>
                <w:szCs w:val="20"/>
                <w:lang w:val="en-GB"/>
              </w:rPr>
            </w:pPr>
          </w:p>
        </w:tc>
        <w:tc>
          <w:tcPr>
            <w:tcW w:w="1985" w:type="dxa"/>
            <w:vAlign w:val="center"/>
          </w:tcPr>
          <w:p w:rsidR="00B83890" w:rsidRPr="00633B89" w:rsidRDefault="00B83890" w:rsidP="006E6DC8">
            <w:pPr>
              <w:jc w:val="right"/>
              <w:rPr>
                <w:sz w:val="20"/>
                <w:szCs w:val="20"/>
                <w:lang w:val="en-GB"/>
              </w:rPr>
            </w:pPr>
          </w:p>
        </w:tc>
        <w:tc>
          <w:tcPr>
            <w:tcW w:w="1417" w:type="dxa"/>
            <w:vAlign w:val="center"/>
          </w:tcPr>
          <w:p w:rsidR="00B83890" w:rsidRPr="00633B89" w:rsidRDefault="00B83890" w:rsidP="006E6DC8">
            <w:pPr>
              <w:jc w:val="right"/>
              <w:rPr>
                <w:sz w:val="20"/>
                <w:szCs w:val="20"/>
                <w:lang w:val="en-GB"/>
              </w:rPr>
            </w:pPr>
          </w:p>
        </w:tc>
      </w:tr>
      <w:tr w:rsidR="00B83890" w:rsidRPr="00633B89" w:rsidTr="006E6DC8">
        <w:trPr>
          <w:cantSplit/>
          <w:trHeight w:val="255"/>
        </w:trPr>
        <w:tc>
          <w:tcPr>
            <w:tcW w:w="4709" w:type="dxa"/>
            <w:vAlign w:val="center"/>
          </w:tcPr>
          <w:p w:rsidR="00B83890" w:rsidRPr="00633B89" w:rsidRDefault="00B83890" w:rsidP="006E6DC8">
            <w:pPr>
              <w:ind w:left="720"/>
              <w:rPr>
                <w:sz w:val="20"/>
                <w:szCs w:val="20"/>
                <w:lang w:val="en-GB"/>
              </w:rPr>
            </w:pPr>
            <w:r w:rsidRPr="00633B89">
              <w:rPr>
                <w:sz w:val="20"/>
                <w:szCs w:val="20"/>
                <w:lang w:val="en-GB"/>
              </w:rPr>
              <w:t>Payments for assets</w:t>
            </w:r>
          </w:p>
        </w:tc>
        <w:tc>
          <w:tcPr>
            <w:tcW w:w="850" w:type="dxa"/>
            <w:vAlign w:val="center"/>
          </w:tcPr>
          <w:p w:rsidR="00B83890" w:rsidRPr="00633B89" w:rsidRDefault="00B83890" w:rsidP="006E6DC8">
            <w:pPr>
              <w:jc w:val="center"/>
              <w:rPr>
                <w:sz w:val="20"/>
                <w:szCs w:val="20"/>
                <w:lang w:val="en-GB"/>
              </w:rPr>
            </w:pPr>
          </w:p>
        </w:tc>
        <w:tc>
          <w:tcPr>
            <w:tcW w:w="1985" w:type="dxa"/>
            <w:vAlign w:val="center"/>
          </w:tcPr>
          <w:p w:rsidR="00B83890" w:rsidRPr="00633B89" w:rsidRDefault="00B83890" w:rsidP="006E6DC8">
            <w:pPr>
              <w:jc w:val="right"/>
              <w:rPr>
                <w:sz w:val="20"/>
                <w:szCs w:val="20"/>
                <w:lang w:val="en-GB"/>
              </w:rPr>
            </w:pPr>
            <w:r w:rsidRPr="00633B89">
              <w:rPr>
                <w:sz w:val="20"/>
                <w:szCs w:val="20"/>
                <w:lang w:val="en-GB"/>
              </w:rPr>
              <w:t>(2,976)</w:t>
            </w:r>
          </w:p>
        </w:tc>
        <w:tc>
          <w:tcPr>
            <w:tcW w:w="1417" w:type="dxa"/>
            <w:vAlign w:val="center"/>
          </w:tcPr>
          <w:p w:rsidR="00B83890" w:rsidRPr="00633B89" w:rsidRDefault="00B83890" w:rsidP="006E6DC8">
            <w:pPr>
              <w:jc w:val="right"/>
              <w:rPr>
                <w:sz w:val="20"/>
                <w:szCs w:val="20"/>
                <w:lang w:val="en-GB"/>
              </w:rPr>
            </w:pPr>
            <w:r w:rsidRPr="00633B89">
              <w:rPr>
                <w:sz w:val="20"/>
                <w:szCs w:val="20"/>
                <w:lang w:val="en-GB"/>
              </w:rPr>
              <w:t>(6,569)</w:t>
            </w:r>
          </w:p>
        </w:tc>
      </w:tr>
      <w:tr w:rsidR="00B83890" w:rsidRPr="00633B89" w:rsidTr="006E6DC8">
        <w:trPr>
          <w:cantSplit/>
          <w:trHeight w:val="255"/>
        </w:trPr>
        <w:tc>
          <w:tcPr>
            <w:tcW w:w="4709" w:type="dxa"/>
            <w:tcBorders>
              <w:top w:val="single" w:sz="4" w:space="0" w:color="auto"/>
              <w:bottom w:val="single" w:sz="4" w:space="0" w:color="auto"/>
            </w:tcBorders>
            <w:vAlign w:val="center"/>
          </w:tcPr>
          <w:p w:rsidR="00B83890" w:rsidRPr="00633B89" w:rsidRDefault="00B83890" w:rsidP="006E6DC8">
            <w:pPr>
              <w:pStyle w:val="total"/>
              <w:rPr>
                <w:color w:val="auto"/>
                <w:sz w:val="20"/>
              </w:rPr>
            </w:pPr>
            <w:r w:rsidRPr="00633B89">
              <w:rPr>
                <w:caps w:val="0"/>
                <w:color w:val="auto"/>
                <w:sz w:val="20"/>
              </w:rPr>
              <w:t>Net Cash Flows Used in Investing Activities</w:t>
            </w:r>
          </w:p>
        </w:tc>
        <w:tc>
          <w:tcPr>
            <w:tcW w:w="850" w:type="dxa"/>
            <w:tcBorders>
              <w:top w:val="single" w:sz="4" w:space="0" w:color="auto"/>
              <w:bottom w:val="single" w:sz="4" w:space="0" w:color="auto"/>
            </w:tcBorders>
            <w:vAlign w:val="center"/>
          </w:tcPr>
          <w:p w:rsidR="00B83890" w:rsidRPr="00633B89" w:rsidRDefault="00B83890" w:rsidP="006E6DC8">
            <w:pPr>
              <w:jc w:val="center"/>
              <w:rPr>
                <w:i/>
                <w:sz w:val="20"/>
                <w:szCs w:val="20"/>
                <w:lang w:val="en-GB"/>
              </w:rPr>
            </w:pPr>
          </w:p>
        </w:tc>
        <w:tc>
          <w:tcPr>
            <w:tcW w:w="1985" w:type="dxa"/>
            <w:tcBorders>
              <w:top w:val="single" w:sz="4" w:space="0" w:color="auto"/>
              <w:bottom w:val="single" w:sz="4" w:space="0" w:color="auto"/>
            </w:tcBorders>
            <w:vAlign w:val="center"/>
          </w:tcPr>
          <w:p w:rsidR="00B83890" w:rsidRPr="00633B89" w:rsidRDefault="00B83890" w:rsidP="006E6DC8">
            <w:pPr>
              <w:jc w:val="right"/>
              <w:rPr>
                <w:b/>
                <w:sz w:val="20"/>
                <w:szCs w:val="20"/>
                <w:lang w:val="en-GB"/>
              </w:rPr>
            </w:pPr>
            <w:r w:rsidRPr="00633B89">
              <w:rPr>
                <w:b/>
                <w:sz w:val="20"/>
                <w:szCs w:val="20"/>
                <w:lang w:val="en-GB"/>
              </w:rPr>
              <w:t>(2,950)</w:t>
            </w:r>
          </w:p>
        </w:tc>
        <w:tc>
          <w:tcPr>
            <w:tcW w:w="1417" w:type="dxa"/>
            <w:tcBorders>
              <w:top w:val="single" w:sz="4" w:space="0" w:color="auto"/>
              <w:bottom w:val="single" w:sz="4" w:space="0" w:color="auto"/>
            </w:tcBorders>
            <w:vAlign w:val="center"/>
          </w:tcPr>
          <w:p w:rsidR="00B83890" w:rsidRPr="00633B89" w:rsidRDefault="00B83890" w:rsidP="006E6DC8">
            <w:pPr>
              <w:jc w:val="right"/>
              <w:rPr>
                <w:b/>
                <w:sz w:val="20"/>
                <w:szCs w:val="20"/>
                <w:lang w:val="en-GB"/>
              </w:rPr>
            </w:pPr>
            <w:r w:rsidRPr="00633B89">
              <w:rPr>
                <w:b/>
                <w:sz w:val="20"/>
                <w:szCs w:val="20"/>
                <w:lang w:val="en-GB"/>
              </w:rPr>
              <w:t>(6,527)</w:t>
            </w:r>
          </w:p>
        </w:tc>
      </w:tr>
      <w:tr w:rsidR="00B83890" w:rsidRPr="00633B89" w:rsidTr="006E6DC8">
        <w:trPr>
          <w:cantSplit/>
          <w:trHeight w:val="255"/>
        </w:trPr>
        <w:tc>
          <w:tcPr>
            <w:tcW w:w="4709" w:type="dxa"/>
            <w:tcBorders>
              <w:top w:val="single" w:sz="4" w:space="0" w:color="auto"/>
            </w:tcBorders>
            <w:vAlign w:val="center"/>
          </w:tcPr>
          <w:p w:rsidR="00B83890" w:rsidRPr="00633B89" w:rsidRDefault="00B83890" w:rsidP="006E6DC8">
            <w:pPr>
              <w:pStyle w:val="total"/>
              <w:ind w:right="174"/>
              <w:rPr>
                <w:caps w:val="0"/>
                <w:color w:val="auto"/>
                <w:sz w:val="20"/>
              </w:rPr>
            </w:pPr>
          </w:p>
        </w:tc>
        <w:tc>
          <w:tcPr>
            <w:tcW w:w="850" w:type="dxa"/>
            <w:tcBorders>
              <w:top w:val="single" w:sz="4" w:space="0" w:color="auto"/>
            </w:tcBorders>
            <w:vAlign w:val="center"/>
          </w:tcPr>
          <w:p w:rsidR="00B83890" w:rsidRPr="00633B89" w:rsidRDefault="00B83890" w:rsidP="006E6DC8">
            <w:pPr>
              <w:jc w:val="center"/>
              <w:rPr>
                <w:i/>
                <w:sz w:val="20"/>
                <w:szCs w:val="20"/>
                <w:lang w:val="en-GB"/>
              </w:rPr>
            </w:pPr>
          </w:p>
        </w:tc>
        <w:tc>
          <w:tcPr>
            <w:tcW w:w="1985" w:type="dxa"/>
            <w:tcBorders>
              <w:top w:val="single" w:sz="4" w:space="0" w:color="auto"/>
            </w:tcBorders>
            <w:vAlign w:val="center"/>
          </w:tcPr>
          <w:p w:rsidR="00B83890" w:rsidRPr="00633B89" w:rsidRDefault="00B83890" w:rsidP="006E6DC8">
            <w:pPr>
              <w:jc w:val="right"/>
              <w:rPr>
                <w:b/>
                <w:sz w:val="20"/>
                <w:szCs w:val="20"/>
                <w:lang w:val="en-GB"/>
              </w:rPr>
            </w:pPr>
          </w:p>
        </w:tc>
        <w:tc>
          <w:tcPr>
            <w:tcW w:w="1417" w:type="dxa"/>
            <w:tcBorders>
              <w:top w:val="single" w:sz="4" w:space="0" w:color="auto"/>
            </w:tcBorders>
            <w:vAlign w:val="center"/>
          </w:tcPr>
          <w:p w:rsidR="00B83890" w:rsidRPr="00633B89" w:rsidRDefault="00B83890" w:rsidP="006E6DC8">
            <w:pPr>
              <w:jc w:val="right"/>
              <w:rPr>
                <w:b/>
                <w:sz w:val="20"/>
                <w:szCs w:val="20"/>
                <w:lang w:val="en-GB"/>
              </w:rPr>
            </w:pPr>
          </w:p>
        </w:tc>
      </w:tr>
      <w:tr w:rsidR="00B83890" w:rsidRPr="00633B89" w:rsidTr="006E6DC8">
        <w:trPr>
          <w:cantSplit/>
          <w:trHeight w:val="255"/>
        </w:trPr>
        <w:tc>
          <w:tcPr>
            <w:tcW w:w="4709" w:type="dxa"/>
            <w:vAlign w:val="center"/>
          </w:tcPr>
          <w:p w:rsidR="00B83890" w:rsidRPr="00633B89" w:rsidRDefault="00B83890" w:rsidP="006E6DC8">
            <w:pPr>
              <w:pStyle w:val="total"/>
              <w:ind w:right="174"/>
              <w:rPr>
                <w:caps w:val="0"/>
                <w:color w:val="auto"/>
                <w:sz w:val="20"/>
              </w:rPr>
            </w:pPr>
            <w:r w:rsidRPr="00633B89">
              <w:rPr>
                <w:caps w:val="0"/>
                <w:color w:val="auto"/>
                <w:sz w:val="20"/>
              </w:rPr>
              <w:t>Cash Flows from Financing Activities</w:t>
            </w:r>
          </w:p>
        </w:tc>
        <w:tc>
          <w:tcPr>
            <w:tcW w:w="850" w:type="dxa"/>
            <w:vAlign w:val="center"/>
          </w:tcPr>
          <w:p w:rsidR="00B83890" w:rsidRPr="00633B89" w:rsidRDefault="00B83890" w:rsidP="006E6DC8">
            <w:pPr>
              <w:jc w:val="center"/>
              <w:rPr>
                <w:i/>
                <w:sz w:val="20"/>
                <w:szCs w:val="20"/>
                <w:lang w:val="en-GB"/>
              </w:rPr>
            </w:pPr>
          </w:p>
        </w:tc>
        <w:tc>
          <w:tcPr>
            <w:tcW w:w="1985" w:type="dxa"/>
            <w:vAlign w:val="center"/>
          </w:tcPr>
          <w:p w:rsidR="00B83890" w:rsidRPr="00633B89" w:rsidRDefault="00B83890" w:rsidP="006E6DC8">
            <w:pPr>
              <w:jc w:val="right"/>
              <w:rPr>
                <w:b/>
                <w:sz w:val="20"/>
                <w:szCs w:val="20"/>
                <w:lang w:val="en-GB"/>
              </w:rPr>
            </w:pPr>
          </w:p>
        </w:tc>
        <w:tc>
          <w:tcPr>
            <w:tcW w:w="1417" w:type="dxa"/>
            <w:vAlign w:val="center"/>
          </w:tcPr>
          <w:p w:rsidR="00B83890" w:rsidRPr="00633B89" w:rsidRDefault="00B83890" w:rsidP="006E6DC8">
            <w:pPr>
              <w:jc w:val="right"/>
              <w:rPr>
                <w:b/>
                <w:sz w:val="20"/>
                <w:szCs w:val="20"/>
                <w:lang w:val="en-GB"/>
              </w:rPr>
            </w:pPr>
          </w:p>
        </w:tc>
      </w:tr>
      <w:tr w:rsidR="00B83890" w:rsidRPr="00633B89" w:rsidTr="006E6DC8">
        <w:trPr>
          <w:cantSplit/>
          <w:trHeight w:val="255"/>
        </w:trPr>
        <w:tc>
          <w:tcPr>
            <w:tcW w:w="4709" w:type="dxa"/>
            <w:vAlign w:val="center"/>
          </w:tcPr>
          <w:p w:rsidR="00B83890" w:rsidRPr="00633B89" w:rsidRDefault="00B83890" w:rsidP="006E6DC8">
            <w:pPr>
              <w:pStyle w:val="total"/>
              <w:ind w:right="174"/>
              <w:rPr>
                <w:caps w:val="0"/>
                <w:color w:val="auto"/>
                <w:sz w:val="20"/>
              </w:rPr>
            </w:pPr>
            <w:r w:rsidRPr="00633B89">
              <w:rPr>
                <w:caps w:val="0"/>
                <w:color w:val="auto"/>
                <w:sz w:val="20"/>
              </w:rPr>
              <w:t>Payments</w:t>
            </w:r>
          </w:p>
        </w:tc>
        <w:tc>
          <w:tcPr>
            <w:tcW w:w="850" w:type="dxa"/>
            <w:vAlign w:val="center"/>
          </w:tcPr>
          <w:p w:rsidR="00B83890" w:rsidRPr="00633B89" w:rsidRDefault="00B83890" w:rsidP="006E6DC8">
            <w:pPr>
              <w:jc w:val="center"/>
              <w:rPr>
                <w:i/>
                <w:sz w:val="20"/>
                <w:szCs w:val="20"/>
                <w:lang w:val="en-GB"/>
              </w:rPr>
            </w:pPr>
          </w:p>
        </w:tc>
        <w:tc>
          <w:tcPr>
            <w:tcW w:w="1985" w:type="dxa"/>
            <w:vAlign w:val="center"/>
          </w:tcPr>
          <w:p w:rsidR="00B83890" w:rsidRPr="00633B89" w:rsidRDefault="00B83890" w:rsidP="006E6DC8">
            <w:pPr>
              <w:jc w:val="right"/>
              <w:rPr>
                <w:sz w:val="20"/>
                <w:szCs w:val="20"/>
                <w:lang w:val="en-GB"/>
              </w:rPr>
            </w:pPr>
          </w:p>
        </w:tc>
        <w:tc>
          <w:tcPr>
            <w:tcW w:w="1417" w:type="dxa"/>
            <w:vAlign w:val="center"/>
          </w:tcPr>
          <w:p w:rsidR="00B83890" w:rsidRPr="00633B89" w:rsidRDefault="00B83890" w:rsidP="006E6DC8">
            <w:pPr>
              <w:jc w:val="right"/>
              <w:rPr>
                <w:sz w:val="20"/>
                <w:szCs w:val="20"/>
                <w:lang w:val="en-GB"/>
              </w:rPr>
            </w:pPr>
          </w:p>
        </w:tc>
      </w:tr>
      <w:tr w:rsidR="00B83890" w:rsidRPr="00633B89" w:rsidTr="006E6DC8">
        <w:trPr>
          <w:cantSplit/>
          <w:trHeight w:val="255"/>
        </w:trPr>
        <w:tc>
          <w:tcPr>
            <w:tcW w:w="4709" w:type="dxa"/>
            <w:tcBorders>
              <w:bottom w:val="single" w:sz="4" w:space="0" w:color="auto"/>
            </w:tcBorders>
            <w:vAlign w:val="center"/>
          </w:tcPr>
          <w:p w:rsidR="00B83890" w:rsidRPr="00633B89" w:rsidRDefault="00B83890" w:rsidP="006E6DC8">
            <w:pPr>
              <w:pStyle w:val="total"/>
              <w:ind w:right="174"/>
              <w:rPr>
                <w:b w:val="0"/>
                <w:caps w:val="0"/>
                <w:color w:val="auto"/>
                <w:sz w:val="20"/>
              </w:rPr>
            </w:pPr>
            <w:r w:rsidRPr="00633B89">
              <w:rPr>
                <w:b w:val="0"/>
                <w:caps w:val="0"/>
                <w:color w:val="auto"/>
                <w:sz w:val="20"/>
              </w:rPr>
              <w:t>Finance Leases</w:t>
            </w:r>
          </w:p>
        </w:tc>
        <w:tc>
          <w:tcPr>
            <w:tcW w:w="850" w:type="dxa"/>
            <w:tcBorders>
              <w:bottom w:val="single" w:sz="4" w:space="0" w:color="auto"/>
            </w:tcBorders>
            <w:vAlign w:val="center"/>
          </w:tcPr>
          <w:p w:rsidR="00B83890" w:rsidRPr="00633B89" w:rsidRDefault="00B83890" w:rsidP="006E6DC8">
            <w:pPr>
              <w:jc w:val="center"/>
              <w:rPr>
                <w:i/>
                <w:sz w:val="20"/>
                <w:szCs w:val="20"/>
                <w:lang w:val="en-GB"/>
              </w:rPr>
            </w:pPr>
          </w:p>
        </w:tc>
        <w:tc>
          <w:tcPr>
            <w:tcW w:w="1985" w:type="dxa"/>
            <w:tcBorders>
              <w:bottom w:val="single" w:sz="4" w:space="0" w:color="auto"/>
            </w:tcBorders>
            <w:vAlign w:val="center"/>
          </w:tcPr>
          <w:p w:rsidR="00B83890" w:rsidRPr="00633B89" w:rsidRDefault="00B83890" w:rsidP="006E6DC8">
            <w:pPr>
              <w:jc w:val="right"/>
              <w:rPr>
                <w:sz w:val="20"/>
                <w:szCs w:val="20"/>
                <w:lang w:val="en-GB"/>
              </w:rPr>
            </w:pPr>
            <w:r w:rsidRPr="00633B89">
              <w:rPr>
                <w:sz w:val="20"/>
                <w:szCs w:val="20"/>
                <w:lang w:val="en-GB"/>
              </w:rPr>
              <w:t>(147)</w:t>
            </w:r>
          </w:p>
        </w:tc>
        <w:tc>
          <w:tcPr>
            <w:tcW w:w="1417" w:type="dxa"/>
            <w:tcBorders>
              <w:bottom w:val="single" w:sz="4" w:space="0" w:color="auto"/>
            </w:tcBorders>
            <w:vAlign w:val="center"/>
          </w:tcPr>
          <w:p w:rsidR="00B83890" w:rsidRPr="00633B89" w:rsidRDefault="00B83890" w:rsidP="006E6DC8">
            <w:pPr>
              <w:jc w:val="right"/>
              <w:rPr>
                <w:sz w:val="20"/>
                <w:szCs w:val="20"/>
                <w:lang w:val="en-GB"/>
              </w:rPr>
            </w:pPr>
            <w:r w:rsidRPr="00633B89">
              <w:rPr>
                <w:sz w:val="20"/>
                <w:szCs w:val="20"/>
                <w:lang w:val="en-GB"/>
              </w:rPr>
              <w:t>(171)</w:t>
            </w:r>
          </w:p>
        </w:tc>
      </w:tr>
      <w:tr w:rsidR="00B83890" w:rsidRPr="00633B89" w:rsidTr="006E6DC8">
        <w:trPr>
          <w:cantSplit/>
          <w:trHeight w:val="255"/>
        </w:trPr>
        <w:tc>
          <w:tcPr>
            <w:tcW w:w="4709" w:type="dxa"/>
            <w:tcBorders>
              <w:top w:val="single" w:sz="4" w:space="0" w:color="auto"/>
              <w:bottom w:val="single" w:sz="4" w:space="0" w:color="auto"/>
            </w:tcBorders>
            <w:vAlign w:val="center"/>
          </w:tcPr>
          <w:p w:rsidR="00B83890" w:rsidRPr="00633B89" w:rsidRDefault="00B83890" w:rsidP="00751664">
            <w:pPr>
              <w:pStyle w:val="total"/>
              <w:rPr>
                <w:caps w:val="0"/>
                <w:color w:val="auto"/>
                <w:sz w:val="20"/>
              </w:rPr>
            </w:pPr>
            <w:r w:rsidRPr="00633B89">
              <w:rPr>
                <w:caps w:val="0"/>
                <w:color w:val="auto"/>
                <w:sz w:val="20"/>
              </w:rPr>
              <w:t>Net Cash Fl</w:t>
            </w:r>
            <w:r w:rsidR="00751664">
              <w:rPr>
                <w:caps w:val="0"/>
                <w:color w:val="auto"/>
                <w:sz w:val="20"/>
              </w:rPr>
              <w:t>ows Used in Financing Activities</w:t>
            </w:r>
            <w:r w:rsidRPr="00633B89">
              <w:rPr>
                <w:caps w:val="0"/>
                <w:color w:val="auto"/>
                <w:sz w:val="20"/>
              </w:rPr>
              <w:t xml:space="preserve"> </w:t>
            </w:r>
          </w:p>
        </w:tc>
        <w:tc>
          <w:tcPr>
            <w:tcW w:w="850" w:type="dxa"/>
            <w:tcBorders>
              <w:top w:val="single" w:sz="4" w:space="0" w:color="auto"/>
              <w:bottom w:val="single" w:sz="4" w:space="0" w:color="auto"/>
            </w:tcBorders>
            <w:vAlign w:val="center"/>
          </w:tcPr>
          <w:p w:rsidR="00B83890" w:rsidRPr="00633B89" w:rsidRDefault="00B83890" w:rsidP="006E6DC8">
            <w:pPr>
              <w:jc w:val="center"/>
              <w:rPr>
                <w:i/>
                <w:sz w:val="20"/>
                <w:szCs w:val="20"/>
                <w:lang w:val="en-GB"/>
              </w:rPr>
            </w:pPr>
          </w:p>
        </w:tc>
        <w:tc>
          <w:tcPr>
            <w:tcW w:w="1985" w:type="dxa"/>
            <w:tcBorders>
              <w:top w:val="single" w:sz="4" w:space="0" w:color="auto"/>
              <w:bottom w:val="single" w:sz="4" w:space="0" w:color="auto"/>
            </w:tcBorders>
            <w:vAlign w:val="center"/>
          </w:tcPr>
          <w:p w:rsidR="00B83890" w:rsidRPr="00633B89" w:rsidRDefault="00B83890" w:rsidP="006E6DC8">
            <w:pPr>
              <w:jc w:val="right"/>
              <w:rPr>
                <w:b/>
                <w:sz w:val="20"/>
                <w:szCs w:val="20"/>
                <w:lang w:val="en-GB"/>
              </w:rPr>
            </w:pPr>
            <w:r w:rsidRPr="00633B89">
              <w:rPr>
                <w:b/>
                <w:sz w:val="20"/>
                <w:szCs w:val="20"/>
                <w:lang w:val="en-GB"/>
              </w:rPr>
              <w:t>(147)</w:t>
            </w:r>
          </w:p>
        </w:tc>
        <w:tc>
          <w:tcPr>
            <w:tcW w:w="1417" w:type="dxa"/>
            <w:tcBorders>
              <w:top w:val="single" w:sz="4" w:space="0" w:color="auto"/>
              <w:bottom w:val="single" w:sz="4" w:space="0" w:color="auto"/>
            </w:tcBorders>
            <w:vAlign w:val="center"/>
          </w:tcPr>
          <w:p w:rsidR="00B83890" w:rsidRPr="00633B89" w:rsidRDefault="00B83890" w:rsidP="006E6DC8">
            <w:pPr>
              <w:jc w:val="right"/>
              <w:rPr>
                <w:b/>
                <w:sz w:val="20"/>
                <w:szCs w:val="20"/>
                <w:lang w:val="en-GB"/>
              </w:rPr>
            </w:pPr>
            <w:r w:rsidRPr="00633B89">
              <w:rPr>
                <w:b/>
                <w:sz w:val="20"/>
                <w:szCs w:val="20"/>
                <w:lang w:val="en-GB"/>
              </w:rPr>
              <w:t>(171)</w:t>
            </w:r>
          </w:p>
        </w:tc>
      </w:tr>
      <w:tr w:rsidR="00B83890" w:rsidRPr="00633B89" w:rsidTr="006E6DC8">
        <w:trPr>
          <w:cantSplit/>
          <w:trHeight w:val="255"/>
        </w:trPr>
        <w:tc>
          <w:tcPr>
            <w:tcW w:w="4709" w:type="dxa"/>
            <w:tcBorders>
              <w:top w:val="single" w:sz="4" w:space="0" w:color="auto"/>
              <w:bottom w:val="nil"/>
            </w:tcBorders>
            <w:vAlign w:val="center"/>
          </w:tcPr>
          <w:p w:rsidR="00B83890" w:rsidRPr="00633B89" w:rsidRDefault="00B83890" w:rsidP="006E6DC8">
            <w:pPr>
              <w:pStyle w:val="total"/>
              <w:rPr>
                <w:caps w:val="0"/>
                <w:color w:val="auto"/>
                <w:sz w:val="20"/>
              </w:rPr>
            </w:pPr>
          </w:p>
          <w:p w:rsidR="00B83890" w:rsidRPr="00633B89" w:rsidRDefault="00B83890" w:rsidP="006E6DC8">
            <w:pPr>
              <w:pStyle w:val="total"/>
              <w:rPr>
                <w:caps w:val="0"/>
                <w:color w:val="auto"/>
                <w:sz w:val="20"/>
              </w:rPr>
            </w:pPr>
            <w:r w:rsidRPr="00633B89">
              <w:rPr>
                <w:caps w:val="0"/>
                <w:color w:val="auto"/>
                <w:sz w:val="20"/>
              </w:rPr>
              <w:t>Net Increase/(Decrease) in Cash Held</w:t>
            </w:r>
          </w:p>
        </w:tc>
        <w:tc>
          <w:tcPr>
            <w:tcW w:w="850" w:type="dxa"/>
            <w:tcBorders>
              <w:top w:val="single" w:sz="4" w:space="0" w:color="auto"/>
              <w:bottom w:val="nil"/>
            </w:tcBorders>
            <w:vAlign w:val="center"/>
          </w:tcPr>
          <w:p w:rsidR="00B83890" w:rsidRPr="00633B89" w:rsidRDefault="00B83890" w:rsidP="006E6DC8">
            <w:pPr>
              <w:jc w:val="center"/>
              <w:rPr>
                <w:i/>
                <w:sz w:val="20"/>
                <w:szCs w:val="20"/>
                <w:lang w:val="en-GB"/>
              </w:rPr>
            </w:pPr>
          </w:p>
        </w:tc>
        <w:tc>
          <w:tcPr>
            <w:tcW w:w="1985" w:type="dxa"/>
            <w:tcBorders>
              <w:top w:val="single" w:sz="4" w:space="0" w:color="auto"/>
              <w:bottom w:val="nil"/>
            </w:tcBorders>
            <w:vAlign w:val="center"/>
          </w:tcPr>
          <w:p w:rsidR="00B83890" w:rsidRPr="00633B89" w:rsidRDefault="00B83890" w:rsidP="006E6DC8">
            <w:pPr>
              <w:jc w:val="right"/>
              <w:rPr>
                <w:b/>
                <w:sz w:val="20"/>
                <w:szCs w:val="20"/>
                <w:lang w:val="en-GB"/>
              </w:rPr>
            </w:pPr>
          </w:p>
          <w:p w:rsidR="00B83890" w:rsidRPr="00633B89" w:rsidRDefault="00B83890" w:rsidP="006E6DC8">
            <w:pPr>
              <w:jc w:val="right"/>
              <w:rPr>
                <w:b/>
                <w:sz w:val="20"/>
                <w:szCs w:val="20"/>
                <w:lang w:val="en-GB"/>
              </w:rPr>
            </w:pPr>
            <w:r w:rsidRPr="00633B89">
              <w:rPr>
                <w:b/>
                <w:sz w:val="20"/>
                <w:szCs w:val="20"/>
                <w:lang w:val="en-GB"/>
              </w:rPr>
              <w:t>(1,418)</w:t>
            </w:r>
          </w:p>
        </w:tc>
        <w:tc>
          <w:tcPr>
            <w:tcW w:w="1417" w:type="dxa"/>
            <w:tcBorders>
              <w:top w:val="single" w:sz="4" w:space="0" w:color="auto"/>
              <w:bottom w:val="nil"/>
            </w:tcBorders>
            <w:vAlign w:val="center"/>
          </w:tcPr>
          <w:p w:rsidR="00B83890" w:rsidRPr="00633B89" w:rsidRDefault="00B83890" w:rsidP="006E6DC8">
            <w:pPr>
              <w:jc w:val="right"/>
              <w:rPr>
                <w:b/>
                <w:sz w:val="20"/>
                <w:szCs w:val="20"/>
                <w:lang w:val="en-GB"/>
              </w:rPr>
            </w:pPr>
          </w:p>
          <w:p w:rsidR="00B83890" w:rsidRPr="00633B89" w:rsidRDefault="00B83890" w:rsidP="006E6DC8">
            <w:pPr>
              <w:jc w:val="right"/>
              <w:rPr>
                <w:b/>
                <w:sz w:val="20"/>
                <w:szCs w:val="20"/>
                <w:lang w:val="en-GB"/>
              </w:rPr>
            </w:pPr>
            <w:r w:rsidRPr="00633B89">
              <w:rPr>
                <w:b/>
                <w:sz w:val="20"/>
                <w:szCs w:val="20"/>
                <w:lang w:val="en-GB"/>
              </w:rPr>
              <w:t>2,260</w:t>
            </w:r>
          </w:p>
        </w:tc>
      </w:tr>
      <w:tr w:rsidR="00B83890" w:rsidRPr="00633B89" w:rsidTr="006E6DC8">
        <w:trPr>
          <w:cantSplit/>
          <w:trHeight w:val="511"/>
        </w:trPr>
        <w:tc>
          <w:tcPr>
            <w:tcW w:w="4709" w:type="dxa"/>
            <w:tcBorders>
              <w:top w:val="nil"/>
              <w:bottom w:val="single" w:sz="4" w:space="0" w:color="auto"/>
            </w:tcBorders>
          </w:tcPr>
          <w:p w:rsidR="00B83890" w:rsidRPr="00633B89" w:rsidRDefault="00B83890" w:rsidP="006E6DC8">
            <w:pPr>
              <w:pStyle w:val="Heading3"/>
              <w:rPr>
                <w:b w:val="0"/>
                <w:i/>
                <w:sz w:val="20"/>
                <w:szCs w:val="20"/>
              </w:rPr>
            </w:pPr>
            <w:r w:rsidRPr="00633B89">
              <w:rPr>
                <w:b w:val="0"/>
                <w:sz w:val="20"/>
                <w:szCs w:val="20"/>
              </w:rPr>
              <w:t>Cash and Cash Equivalents at the Beginning of the Financial Year</w:t>
            </w:r>
          </w:p>
        </w:tc>
        <w:tc>
          <w:tcPr>
            <w:tcW w:w="850" w:type="dxa"/>
            <w:tcBorders>
              <w:top w:val="nil"/>
              <w:bottom w:val="single" w:sz="4" w:space="0" w:color="auto"/>
            </w:tcBorders>
            <w:vAlign w:val="center"/>
          </w:tcPr>
          <w:p w:rsidR="00B83890" w:rsidRPr="00633B89" w:rsidRDefault="00B83890" w:rsidP="006E6DC8">
            <w:pPr>
              <w:jc w:val="center"/>
              <w:rPr>
                <w:sz w:val="20"/>
                <w:szCs w:val="20"/>
                <w:lang w:val="en-GB"/>
              </w:rPr>
            </w:pPr>
          </w:p>
        </w:tc>
        <w:tc>
          <w:tcPr>
            <w:tcW w:w="1985" w:type="dxa"/>
            <w:tcBorders>
              <w:top w:val="nil"/>
              <w:bottom w:val="single" w:sz="4" w:space="0" w:color="auto"/>
            </w:tcBorders>
          </w:tcPr>
          <w:p w:rsidR="00B83890" w:rsidRPr="00633B89" w:rsidRDefault="00B83890" w:rsidP="006E6DC8">
            <w:pPr>
              <w:jc w:val="right"/>
              <w:rPr>
                <w:sz w:val="20"/>
                <w:szCs w:val="20"/>
                <w:lang w:val="en-GB"/>
              </w:rPr>
            </w:pPr>
          </w:p>
          <w:p w:rsidR="00B83890" w:rsidRPr="00633B89" w:rsidRDefault="00B83890" w:rsidP="006E6DC8">
            <w:pPr>
              <w:jc w:val="right"/>
              <w:rPr>
                <w:sz w:val="20"/>
                <w:szCs w:val="20"/>
                <w:lang w:val="en-GB"/>
              </w:rPr>
            </w:pPr>
            <w:r w:rsidRPr="00633B89">
              <w:rPr>
                <w:sz w:val="20"/>
                <w:szCs w:val="20"/>
                <w:lang w:val="en-GB"/>
              </w:rPr>
              <w:t>25,805</w:t>
            </w:r>
          </w:p>
        </w:tc>
        <w:tc>
          <w:tcPr>
            <w:tcW w:w="1417" w:type="dxa"/>
            <w:tcBorders>
              <w:top w:val="nil"/>
              <w:bottom w:val="single" w:sz="4" w:space="0" w:color="auto"/>
            </w:tcBorders>
          </w:tcPr>
          <w:p w:rsidR="00B83890" w:rsidRPr="00633B89" w:rsidRDefault="00B83890" w:rsidP="006E6DC8">
            <w:pPr>
              <w:jc w:val="right"/>
              <w:rPr>
                <w:sz w:val="20"/>
                <w:szCs w:val="20"/>
                <w:lang w:val="en-GB"/>
              </w:rPr>
            </w:pPr>
          </w:p>
          <w:p w:rsidR="00B83890" w:rsidRPr="00633B89" w:rsidRDefault="00B83890" w:rsidP="006E6DC8">
            <w:pPr>
              <w:jc w:val="right"/>
              <w:rPr>
                <w:sz w:val="20"/>
                <w:szCs w:val="20"/>
                <w:lang w:val="en-GB"/>
              </w:rPr>
            </w:pPr>
            <w:r w:rsidRPr="00633B89">
              <w:rPr>
                <w:sz w:val="20"/>
                <w:szCs w:val="20"/>
                <w:lang w:val="en-GB"/>
              </w:rPr>
              <w:t>23,545</w:t>
            </w:r>
          </w:p>
        </w:tc>
      </w:tr>
      <w:tr w:rsidR="00B83890" w:rsidRPr="00633B89" w:rsidTr="006E6DC8">
        <w:trPr>
          <w:cantSplit/>
          <w:trHeight w:val="551"/>
        </w:trPr>
        <w:tc>
          <w:tcPr>
            <w:tcW w:w="4709" w:type="dxa"/>
            <w:tcBorders>
              <w:top w:val="single" w:sz="4" w:space="0" w:color="auto"/>
              <w:bottom w:val="single" w:sz="4" w:space="0" w:color="auto"/>
            </w:tcBorders>
          </w:tcPr>
          <w:p w:rsidR="00B83890" w:rsidRPr="00633B89" w:rsidRDefault="00B83890" w:rsidP="006E6DC8">
            <w:pPr>
              <w:pStyle w:val="total"/>
              <w:rPr>
                <w:color w:val="auto"/>
                <w:sz w:val="20"/>
              </w:rPr>
            </w:pPr>
            <w:r w:rsidRPr="00633B89">
              <w:rPr>
                <w:caps w:val="0"/>
                <w:color w:val="auto"/>
                <w:sz w:val="20"/>
              </w:rPr>
              <w:t xml:space="preserve">Cash and Cash Equivalents at the End of the Financial Year </w:t>
            </w:r>
          </w:p>
        </w:tc>
        <w:tc>
          <w:tcPr>
            <w:tcW w:w="850" w:type="dxa"/>
            <w:tcBorders>
              <w:top w:val="single" w:sz="4" w:space="0" w:color="auto"/>
              <w:bottom w:val="single" w:sz="4" w:space="0" w:color="auto"/>
            </w:tcBorders>
          </w:tcPr>
          <w:p w:rsidR="00B83890" w:rsidRPr="00633B89" w:rsidRDefault="00B83890" w:rsidP="006E6DC8">
            <w:pPr>
              <w:jc w:val="center"/>
              <w:rPr>
                <w:sz w:val="20"/>
                <w:szCs w:val="20"/>
                <w:lang w:val="en-GB"/>
              </w:rPr>
            </w:pPr>
          </w:p>
          <w:p w:rsidR="00B83890" w:rsidRPr="00633B89" w:rsidRDefault="00B83890" w:rsidP="006E6DC8">
            <w:pPr>
              <w:jc w:val="center"/>
              <w:rPr>
                <w:sz w:val="20"/>
                <w:szCs w:val="20"/>
                <w:lang w:val="en-GB"/>
              </w:rPr>
            </w:pPr>
            <w:r w:rsidRPr="00633B89">
              <w:rPr>
                <w:sz w:val="20"/>
                <w:szCs w:val="20"/>
                <w:lang w:val="en-GB"/>
              </w:rPr>
              <w:t>6,15(a)</w:t>
            </w:r>
          </w:p>
        </w:tc>
        <w:tc>
          <w:tcPr>
            <w:tcW w:w="1985" w:type="dxa"/>
            <w:tcBorders>
              <w:top w:val="single" w:sz="4" w:space="0" w:color="auto"/>
              <w:bottom w:val="single" w:sz="4" w:space="0" w:color="auto"/>
            </w:tcBorders>
          </w:tcPr>
          <w:p w:rsidR="00B83890" w:rsidRPr="00633B89" w:rsidRDefault="00B83890" w:rsidP="006E6DC8">
            <w:pPr>
              <w:jc w:val="right"/>
              <w:rPr>
                <w:b/>
                <w:sz w:val="20"/>
                <w:szCs w:val="20"/>
                <w:lang w:val="en-GB"/>
              </w:rPr>
            </w:pPr>
          </w:p>
          <w:p w:rsidR="00B83890" w:rsidRPr="00633B89" w:rsidRDefault="00B83890" w:rsidP="006E6DC8">
            <w:pPr>
              <w:jc w:val="right"/>
              <w:rPr>
                <w:b/>
                <w:sz w:val="20"/>
                <w:szCs w:val="20"/>
                <w:lang w:val="en-GB"/>
              </w:rPr>
            </w:pPr>
            <w:r w:rsidRPr="00633B89">
              <w:rPr>
                <w:b/>
                <w:sz w:val="20"/>
                <w:szCs w:val="20"/>
                <w:lang w:val="en-GB"/>
              </w:rPr>
              <w:t>24,387</w:t>
            </w:r>
          </w:p>
        </w:tc>
        <w:tc>
          <w:tcPr>
            <w:tcW w:w="1417" w:type="dxa"/>
            <w:tcBorders>
              <w:top w:val="single" w:sz="4" w:space="0" w:color="auto"/>
              <w:bottom w:val="single" w:sz="4" w:space="0" w:color="auto"/>
            </w:tcBorders>
          </w:tcPr>
          <w:p w:rsidR="00B83890" w:rsidRPr="00633B89" w:rsidRDefault="00B83890" w:rsidP="006E6DC8">
            <w:pPr>
              <w:jc w:val="right"/>
              <w:rPr>
                <w:b/>
                <w:sz w:val="20"/>
                <w:szCs w:val="20"/>
                <w:lang w:val="en-GB"/>
              </w:rPr>
            </w:pPr>
          </w:p>
          <w:p w:rsidR="00B83890" w:rsidRPr="00633B89" w:rsidRDefault="00B83890" w:rsidP="006E6DC8">
            <w:pPr>
              <w:jc w:val="right"/>
              <w:rPr>
                <w:b/>
                <w:sz w:val="20"/>
                <w:szCs w:val="20"/>
                <w:lang w:val="en-GB"/>
              </w:rPr>
            </w:pPr>
            <w:r w:rsidRPr="00633B89">
              <w:rPr>
                <w:b/>
                <w:sz w:val="20"/>
                <w:szCs w:val="20"/>
                <w:lang w:val="en-GB"/>
              </w:rPr>
              <w:t>25,805</w:t>
            </w:r>
          </w:p>
        </w:tc>
      </w:tr>
    </w:tbl>
    <w:p w:rsidR="00B83890" w:rsidRDefault="00B83890" w:rsidP="00B83890">
      <w:pPr>
        <w:spacing w:before="40"/>
        <w:rPr>
          <w:b/>
        </w:rPr>
      </w:pPr>
    </w:p>
    <w:p w:rsidR="00B83890" w:rsidRPr="00C12E6A" w:rsidRDefault="00B83890" w:rsidP="00B83890">
      <w:pPr>
        <w:spacing w:before="40"/>
      </w:pPr>
      <w:r w:rsidRPr="00C12E6A">
        <w:rPr>
          <w:b/>
        </w:rPr>
        <w:t xml:space="preserve">The above </w:t>
      </w:r>
      <w:r>
        <w:rPr>
          <w:b/>
        </w:rPr>
        <w:t>Cash F</w:t>
      </w:r>
      <w:r w:rsidRPr="00C12E6A">
        <w:rPr>
          <w:b/>
        </w:rPr>
        <w:t xml:space="preserve">low </w:t>
      </w:r>
      <w:r>
        <w:rPr>
          <w:b/>
        </w:rPr>
        <w:t>S</w:t>
      </w:r>
      <w:r w:rsidRPr="00C12E6A">
        <w:rPr>
          <w:b/>
        </w:rPr>
        <w:t>tatement should be read in conjunction with accompanying notes.</w:t>
      </w:r>
    </w:p>
    <w:p w:rsidR="00B83890" w:rsidRDefault="00B83890" w:rsidP="00B83890">
      <w:pPr>
        <w:rPr>
          <w:rFonts w:cs="Arial"/>
          <w:sz w:val="24"/>
          <w:szCs w:val="24"/>
        </w:rPr>
      </w:pPr>
      <w:r>
        <w:br w:type="page"/>
      </w:r>
    </w:p>
    <w:p w:rsidR="00B83890" w:rsidRDefault="00B83890" w:rsidP="00513943">
      <w:pPr>
        <w:pStyle w:val="Heading2"/>
      </w:pPr>
      <w:r w:rsidRPr="008257C8">
        <w:lastRenderedPageBreak/>
        <w:t>Notes to the Financial Statements for the Fin</w:t>
      </w:r>
      <w:r w:rsidR="00751664">
        <w:t>ancial Year Ended 30 June 2013</w:t>
      </w:r>
    </w:p>
    <w:p w:rsidR="00751664" w:rsidRPr="00751664" w:rsidRDefault="00751664" w:rsidP="00751664"/>
    <w:p w:rsidR="00B83890" w:rsidRPr="004B1BAA" w:rsidRDefault="00B83890" w:rsidP="00C14C5D">
      <w:pPr>
        <w:pStyle w:val="Heading3"/>
        <w:numPr>
          <w:ilvl w:val="0"/>
          <w:numId w:val="29"/>
        </w:numPr>
      </w:pPr>
      <w:r w:rsidRPr="004B1BAA">
        <w:t xml:space="preserve">SUMMARY OF SIGNIFICANT ACCOUNTING POLICIES </w:t>
      </w:r>
    </w:p>
    <w:p w:rsidR="00B83890" w:rsidRPr="002B722A" w:rsidRDefault="00B83890" w:rsidP="00C14C5D">
      <w:pPr>
        <w:pStyle w:val="Heading4"/>
        <w:numPr>
          <w:ilvl w:val="0"/>
          <w:numId w:val="30"/>
        </w:numPr>
      </w:pPr>
      <w:r w:rsidRPr="002B722A">
        <w:t>STATEMENT OF COMPLIANCE</w:t>
      </w:r>
    </w:p>
    <w:p w:rsidR="00B83890" w:rsidRPr="00933FEF" w:rsidRDefault="00B83890" w:rsidP="00B83890">
      <w:pPr>
        <w:spacing w:before="60"/>
        <w:ind w:left="425"/>
        <w:jc w:val="both"/>
        <w:rPr>
          <w:sz w:val="20"/>
          <w:szCs w:val="20"/>
        </w:rPr>
      </w:pPr>
      <w:r w:rsidRPr="00933FEF">
        <w:rPr>
          <w:sz w:val="20"/>
          <w:szCs w:val="20"/>
        </w:rPr>
        <w:t xml:space="preserve">These general purpose financial statements have been prepared in accordance with the </w:t>
      </w:r>
      <w:r w:rsidRPr="00933FEF">
        <w:rPr>
          <w:i/>
          <w:sz w:val="20"/>
          <w:szCs w:val="20"/>
        </w:rPr>
        <w:t>Financial Management Act 1994</w:t>
      </w:r>
      <w:r w:rsidRPr="00933FEF">
        <w:rPr>
          <w:sz w:val="20"/>
          <w:szCs w:val="20"/>
        </w:rPr>
        <w:t xml:space="preserve">, applicable Australian Accounting Standards (AAS) which include Interpretations, issued by the Australian Accounting Standards Board (AASB). In particular, they are presented in a manner consistent with the requirements of the </w:t>
      </w:r>
      <w:r w:rsidRPr="00933FEF">
        <w:rPr>
          <w:i/>
          <w:sz w:val="20"/>
          <w:szCs w:val="20"/>
        </w:rPr>
        <w:t>AASB 1049 Whole of Government and General Government Sector Financial Reporting.</w:t>
      </w:r>
      <w:r w:rsidRPr="00933FEF">
        <w:rPr>
          <w:sz w:val="20"/>
          <w:szCs w:val="20"/>
        </w:rPr>
        <w:t xml:space="preserve"> </w:t>
      </w:r>
    </w:p>
    <w:p w:rsidR="00B83890" w:rsidRPr="00933FEF" w:rsidRDefault="00B83890" w:rsidP="00B83890">
      <w:pPr>
        <w:pStyle w:val="NormalIndent"/>
        <w:tabs>
          <w:tab w:val="clear" w:pos="360"/>
          <w:tab w:val="clear" w:pos="720"/>
          <w:tab w:val="clear" w:pos="1440"/>
        </w:tabs>
        <w:spacing w:before="120"/>
        <w:ind w:left="425" w:firstLine="0"/>
        <w:jc w:val="both"/>
        <w:rPr>
          <w:sz w:val="20"/>
        </w:rPr>
      </w:pPr>
      <w:r w:rsidRPr="00933FEF">
        <w:rPr>
          <w:sz w:val="20"/>
        </w:rPr>
        <w:t>Where appropriate, those AAS paragraphs applicable to not-for-profit entities have been applied.</w:t>
      </w:r>
    </w:p>
    <w:p w:rsidR="00B83890" w:rsidRDefault="00B83890" w:rsidP="00B83890">
      <w:pPr>
        <w:pStyle w:val="NormalIndent"/>
        <w:tabs>
          <w:tab w:val="clear" w:pos="360"/>
        </w:tabs>
        <w:spacing w:before="120"/>
        <w:ind w:firstLine="0"/>
        <w:jc w:val="both"/>
        <w:rPr>
          <w:sz w:val="20"/>
        </w:rPr>
      </w:pPr>
      <w:r w:rsidRPr="00933FEF">
        <w:rPr>
          <w:sz w:val="20"/>
        </w:rPr>
        <w:t>The financial statements were authorised for issue by Callum Ingram (Director Corporate Services –Museums Board of</w:t>
      </w:r>
      <w:r>
        <w:rPr>
          <w:sz w:val="20"/>
        </w:rPr>
        <w:t xml:space="preserve"> Victoria) on the date the declaration was signed. </w:t>
      </w:r>
    </w:p>
    <w:p w:rsidR="00B83890" w:rsidRDefault="00B83890" w:rsidP="00B83890">
      <w:pPr>
        <w:pStyle w:val="NormalIndent"/>
        <w:tabs>
          <w:tab w:val="clear" w:pos="360"/>
        </w:tabs>
        <w:spacing w:before="120"/>
        <w:ind w:left="426" w:firstLine="0"/>
        <w:jc w:val="both"/>
        <w:rPr>
          <w:sz w:val="20"/>
        </w:rPr>
      </w:pPr>
      <w:r w:rsidRPr="006D4251">
        <w:rPr>
          <w:sz w:val="20"/>
        </w:rPr>
        <w:t>Accounting policies are selected and applied in a manner which ensures that the resulting financial information satisfies the concepts of relevance and reliability, thereby ensuring that the substance of the underlying transactions or other events is reported.</w:t>
      </w:r>
    </w:p>
    <w:p w:rsidR="004B1BAA" w:rsidRDefault="004B1BAA" w:rsidP="00B83890">
      <w:pPr>
        <w:pStyle w:val="NormalIndent"/>
        <w:tabs>
          <w:tab w:val="clear" w:pos="360"/>
        </w:tabs>
        <w:spacing w:before="120"/>
        <w:ind w:left="426" w:firstLine="0"/>
        <w:jc w:val="both"/>
        <w:rPr>
          <w:sz w:val="20"/>
        </w:rPr>
      </w:pPr>
    </w:p>
    <w:p w:rsidR="00B83890" w:rsidRPr="00114113" w:rsidRDefault="00B83890" w:rsidP="00C14C5D">
      <w:pPr>
        <w:pStyle w:val="Heading4"/>
        <w:numPr>
          <w:ilvl w:val="0"/>
          <w:numId w:val="30"/>
        </w:numPr>
      </w:pPr>
      <w:r w:rsidRPr="00114113">
        <w:t xml:space="preserve">BASIS OF </w:t>
      </w:r>
      <w:r>
        <w:t xml:space="preserve">ACCOUNTING </w:t>
      </w:r>
      <w:r w:rsidRPr="00114113">
        <w:t>PREPARATION</w:t>
      </w:r>
      <w:r>
        <w:t xml:space="preserve"> AND MEASUREMENT</w:t>
      </w:r>
    </w:p>
    <w:p w:rsidR="00B83890" w:rsidRDefault="00B83890" w:rsidP="00B83890">
      <w:pPr>
        <w:pStyle w:val="NormalIndent"/>
        <w:tabs>
          <w:tab w:val="clear" w:pos="360"/>
        </w:tabs>
        <w:spacing w:before="120"/>
        <w:ind w:firstLine="0"/>
        <w:jc w:val="both"/>
        <w:rPr>
          <w:sz w:val="20"/>
        </w:rPr>
      </w:pPr>
      <w:r w:rsidRPr="006D4251">
        <w:rPr>
          <w:sz w:val="20"/>
        </w:rPr>
        <w:t>The accrual basis of accounting has been applied in the preparation of these financial statements whereby assets, liabilities, equity, income and expenses are recognised in the reporting period to which they relate, regardless of when cash is received or paid.</w:t>
      </w:r>
    </w:p>
    <w:p w:rsidR="00B83890" w:rsidRDefault="00B83890" w:rsidP="00B83890">
      <w:pPr>
        <w:pStyle w:val="NormalIndent"/>
        <w:tabs>
          <w:tab w:val="clear" w:pos="360"/>
        </w:tabs>
        <w:spacing w:before="120"/>
        <w:ind w:firstLine="0"/>
        <w:jc w:val="both"/>
        <w:rPr>
          <w:sz w:val="20"/>
        </w:rPr>
      </w:pPr>
      <w:r w:rsidRPr="006D4251">
        <w:rPr>
          <w:sz w:val="20"/>
        </w:rPr>
        <w:t xml:space="preserve">These financial statements are presented in Australian dollars, the functional and presentation currency of </w:t>
      </w:r>
      <w:r>
        <w:rPr>
          <w:sz w:val="20"/>
        </w:rPr>
        <w:t>Museum Victoria</w:t>
      </w:r>
      <w:r w:rsidRPr="006D4251">
        <w:rPr>
          <w:sz w:val="20"/>
        </w:rPr>
        <w:t>.</w:t>
      </w:r>
    </w:p>
    <w:p w:rsidR="00B83890" w:rsidRPr="00C52888" w:rsidRDefault="00B83890" w:rsidP="00B83890">
      <w:pPr>
        <w:pStyle w:val="NormalIndent"/>
        <w:tabs>
          <w:tab w:val="clear" w:pos="360"/>
        </w:tabs>
        <w:spacing w:before="120"/>
        <w:ind w:firstLine="0"/>
        <w:jc w:val="both"/>
        <w:rPr>
          <w:sz w:val="20"/>
        </w:rPr>
      </w:pPr>
      <w:r w:rsidRPr="008D73CC">
        <w:rPr>
          <w:sz w:val="20"/>
        </w:rPr>
        <w:t>In the application of AASs, management is required to make judgements, estimates and assumptions about</w:t>
      </w:r>
      <w:r>
        <w:rPr>
          <w:sz w:val="20"/>
        </w:rPr>
        <w:t xml:space="preserve"> the</w:t>
      </w:r>
      <w:r w:rsidRPr="008D73CC">
        <w:rPr>
          <w:sz w:val="20"/>
        </w:rPr>
        <w:t xml:space="preserve"> carrying values of assets and liabilities that are not readily apparent from other sources. The estimates and associated assumptions are based on </w:t>
      </w:r>
      <w:r>
        <w:rPr>
          <w:sz w:val="20"/>
        </w:rPr>
        <w:t xml:space="preserve">professional judgements derived from </w:t>
      </w:r>
      <w:r w:rsidRPr="008D73CC">
        <w:rPr>
          <w:sz w:val="20"/>
        </w:rPr>
        <w:t>historical experience and various other factors that are believed to be reasonable under the circumstance</w:t>
      </w:r>
      <w:r>
        <w:rPr>
          <w:sz w:val="20"/>
        </w:rPr>
        <w:t>s</w:t>
      </w:r>
      <w:r w:rsidRPr="008D73CC">
        <w:rPr>
          <w:sz w:val="20"/>
        </w:rPr>
        <w:t>. Actual results may differ from these estimates.</w:t>
      </w:r>
    </w:p>
    <w:p w:rsidR="00B83890" w:rsidRDefault="00B83890" w:rsidP="00B83890">
      <w:pPr>
        <w:pStyle w:val="NormalIndent"/>
        <w:tabs>
          <w:tab w:val="clear" w:pos="360"/>
        </w:tabs>
        <w:spacing w:before="120"/>
        <w:ind w:firstLine="0"/>
        <w:jc w:val="both"/>
        <w:rPr>
          <w:sz w:val="20"/>
        </w:rPr>
      </w:pPr>
      <w:r>
        <w:rPr>
          <w:sz w:val="20"/>
        </w:rPr>
        <w:t>The financial report has also been prepared on a going concern basis. Museum Victoria is economically dependent on the Victorian State Government grant to assist in funding its operations.</w:t>
      </w:r>
    </w:p>
    <w:p w:rsidR="00B83890" w:rsidRDefault="00B83890" w:rsidP="00B83890">
      <w:pPr>
        <w:pStyle w:val="NormalIndent"/>
        <w:tabs>
          <w:tab w:val="clear" w:pos="360"/>
        </w:tabs>
        <w:spacing w:before="120"/>
        <w:ind w:firstLine="0"/>
        <w:jc w:val="both"/>
        <w:rPr>
          <w:sz w:val="20"/>
        </w:rPr>
      </w:pPr>
      <w:r w:rsidRPr="006D4251">
        <w:rPr>
          <w:sz w:val="20"/>
        </w:rPr>
        <w:t>This report has been prepared in accordance with the historical cost convention. Historical cost is based on the fair values of the consideration given in exchange for assets.</w:t>
      </w:r>
    </w:p>
    <w:p w:rsidR="004B1BAA" w:rsidRDefault="004B1BAA" w:rsidP="00B83890">
      <w:pPr>
        <w:pStyle w:val="NormalIndent"/>
        <w:tabs>
          <w:tab w:val="clear" w:pos="360"/>
        </w:tabs>
        <w:spacing w:before="120"/>
        <w:ind w:firstLine="0"/>
        <w:jc w:val="both"/>
        <w:rPr>
          <w:sz w:val="20"/>
        </w:rPr>
      </w:pPr>
    </w:p>
    <w:p w:rsidR="00B83890" w:rsidRPr="00682104" w:rsidRDefault="00B83890" w:rsidP="00C14C5D">
      <w:pPr>
        <w:pStyle w:val="Heading4"/>
        <w:numPr>
          <w:ilvl w:val="0"/>
          <w:numId w:val="30"/>
        </w:numPr>
      </w:pPr>
      <w:r w:rsidRPr="00682104">
        <w:t>SCOPE AND PRESENTATION OF FINANCIAL STATEMENTS</w:t>
      </w:r>
    </w:p>
    <w:p w:rsidR="00B83890" w:rsidRPr="00E3688B" w:rsidRDefault="00B83890" w:rsidP="00B83890">
      <w:pPr>
        <w:pStyle w:val="NormalIndent"/>
        <w:spacing w:before="120" w:after="120"/>
        <w:ind w:left="357" w:firstLine="0"/>
        <w:jc w:val="both"/>
        <w:rPr>
          <w:i/>
          <w:sz w:val="20"/>
        </w:rPr>
      </w:pPr>
      <w:r w:rsidRPr="00E3688B">
        <w:rPr>
          <w:i/>
          <w:sz w:val="20"/>
        </w:rPr>
        <w:t>Comprehensive operating statement</w:t>
      </w:r>
    </w:p>
    <w:p w:rsidR="00B83890" w:rsidRPr="00361A91" w:rsidRDefault="00B83890" w:rsidP="00B83890">
      <w:pPr>
        <w:pStyle w:val="NormalIndent"/>
        <w:ind w:left="357" w:hanging="357"/>
        <w:jc w:val="both"/>
        <w:rPr>
          <w:i/>
          <w:sz w:val="20"/>
        </w:rPr>
      </w:pPr>
      <w:r>
        <w:rPr>
          <w:sz w:val="20"/>
        </w:rPr>
        <w:tab/>
      </w:r>
      <w:r w:rsidRPr="00E3688B">
        <w:rPr>
          <w:sz w:val="20"/>
        </w:rPr>
        <w:t xml:space="preserve">Income and expenses in the comprehensive operating statement are classified according to whether or not they arise from ‘transactions’ or ‘other economic flows’. This classification is consistent with the whole of government reporting format and is allowed under </w:t>
      </w:r>
      <w:r w:rsidRPr="00361A91">
        <w:rPr>
          <w:i/>
          <w:sz w:val="20"/>
        </w:rPr>
        <w:t>AASB 101 Presentation of financial statements.</w:t>
      </w:r>
    </w:p>
    <w:p w:rsidR="00B83890" w:rsidRPr="00E3688B" w:rsidRDefault="00B83890" w:rsidP="00B83890">
      <w:pPr>
        <w:pStyle w:val="NormalIndent"/>
        <w:spacing w:before="120"/>
        <w:jc w:val="both"/>
        <w:rPr>
          <w:sz w:val="20"/>
        </w:rPr>
      </w:pPr>
      <w:r>
        <w:rPr>
          <w:sz w:val="20"/>
        </w:rPr>
        <w:tab/>
      </w:r>
      <w:r w:rsidRPr="00E3688B">
        <w:rPr>
          <w:sz w:val="20"/>
        </w:rPr>
        <w:t>‘Transactions’ are those economic flows that are considered to arise as a result of policy decisions, usually interactions between two entities by mutual agreement. Transactions also include flows within an entity, such as depreciation</w:t>
      </w:r>
      <w:r>
        <w:rPr>
          <w:sz w:val="20"/>
        </w:rPr>
        <w:t>.</w:t>
      </w:r>
      <w:r w:rsidRPr="00E3688B">
        <w:rPr>
          <w:sz w:val="20"/>
        </w:rPr>
        <w:t xml:space="preserve">  Transactions can be in kind or where the final consideration is cash.</w:t>
      </w:r>
    </w:p>
    <w:p w:rsidR="00B83890" w:rsidRDefault="00B83890" w:rsidP="00B83890">
      <w:pPr>
        <w:pStyle w:val="NormalIndent"/>
        <w:spacing w:before="120"/>
        <w:jc w:val="both"/>
        <w:rPr>
          <w:sz w:val="20"/>
        </w:rPr>
      </w:pPr>
      <w:r>
        <w:rPr>
          <w:sz w:val="20"/>
        </w:rPr>
        <w:tab/>
      </w:r>
      <w:r w:rsidRPr="00E3688B">
        <w:rPr>
          <w:sz w:val="20"/>
        </w:rPr>
        <w:t>‘Other economic flows’ are changes arising from market re-measurements. They include gains and losses from disposals, revaluations and impairments of non-current</w:t>
      </w:r>
      <w:r>
        <w:rPr>
          <w:sz w:val="20"/>
        </w:rPr>
        <w:t xml:space="preserve"> physical and intangible assets.</w:t>
      </w:r>
    </w:p>
    <w:p w:rsidR="00B83890" w:rsidRDefault="00B83890" w:rsidP="00C14C5D">
      <w:pPr>
        <w:pStyle w:val="Heading2"/>
        <w:numPr>
          <w:ilvl w:val="0"/>
          <w:numId w:val="24"/>
        </w:numPr>
        <w:tabs>
          <w:tab w:val="clear" w:pos="720"/>
          <w:tab w:val="num" w:pos="5039"/>
        </w:tabs>
        <w:spacing w:before="120" w:after="60"/>
        <w:ind w:left="352" w:hanging="352"/>
        <w:rPr>
          <w:sz w:val="22"/>
          <w:szCs w:val="22"/>
        </w:rPr>
      </w:pPr>
      <w:r>
        <w:rPr>
          <w:sz w:val="22"/>
          <w:szCs w:val="22"/>
        </w:rPr>
        <w:lastRenderedPageBreak/>
        <w:t xml:space="preserve">SUMMARY OF </w:t>
      </w:r>
      <w:r w:rsidRPr="00D605F7">
        <w:rPr>
          <w:sz w:val="22"/>
          <w:szCs w:val="22"/>
        </w:rPr>
        <w:t>SIGNIFICANT ACCOUNTING POLICIES (CONT’D)</w:t>
      </w:r>
    </w:p>
    <w:p w:rsidR="00B83890" w:rsidRPr="00850614" w:rsidRDefault="00B83890" w:rsidP="00C14C5D">
      <w:pPr>
        <w:pStyle w:val="Heading3"/>
        <w:numPr>
          <w:ilvl w:val="0"/>
          <w:numId w:val="26"/>
        </w:numPr>
        <w:tabs>
          <w:tab w:val="left" w:pos="360"/>
          <w:tab w:val="left" w:pos="720"/>
          <w:tab w:val="left" w:pos="1440"/>
        </w:tabs>
        <w:spacing w:before="120"/>
        <w:ind w:left="714" w:hanging="357"/>
        <w:jc w:val="both"/>
        <w:rPr>
          <w:i/>
          <w:sz w:val="18"/>
          <w:szCs w:val="18"/>
        </w:rPr>
      </w:pPr>
      <w:r w:rsidRPr="00850614">
        <w:rPr>
          <w:sz w:val="18"/>
          <w:szCs w:val="18"/>
        </w:rPr>
        <w:t>SCOPE AND PRESENTATION OF FINANCIAL STATEMENTS (cont’d)</w:t>
      </w:r>
    </w:p>
    <w:p w:rsidR="00B83890" w:rsidRDefault="00B83890" w:rsidP="00B83890">
      <w:pPr>
        <w:pStyle w:val="NormalIndent"/>
        <w:spacing w:before="120"/>
        <w:jc w:val="both"/>
        <w:rPr>
          <w:sz w:val="20"/>
        </w:rPr>
      </w:pPr>
      <w:r>
        <w:rPr>
          <w:sz w:val="20"/>
        </w:rPr>
        <w:tab/>
      </w:r>
      <w:r w:rsidRPr="00E3688B">
        <w:rPr>
          <w:sz w:val="20"/>
        </w:rPr>
        <w:t>The net result is equivalent to profit or loss derived in accordance with AASs.</w:t>
      </w:r>
    </w:p>
    <w:p w:rsidR="00B83890" w:rsidRPr="00E3688B" w:rsidRDefault="00B83890" w:rsidP="00B83890">
      <w:pPr>
        <w:pStyle w:val="NormalIndent"/>
        <w:ind w:left="357" w:hanging="357"/>
        <w:jc w:val="both"/>
        <w:rPr>
          <w:sz w:val="20"/>
        </w:rPr>
      </w:pPr>
    </w:p>
    <w:p w:rsidR="00B83890" w:rsidRPr="00E3688B" w:rsidRDefault="00B83890" w:rsidP="00B83890">
      <w:pPr>
        <w:pStyle w:val="NormalIndent"/>
        <w:spacing w:after="120"/>
        <w:ind w:left="357" w:hanging="357"/>
        <w:jc w:val="both"/>
        <w:rPr>
          <w:i/>
          <w:sz w:val="20"/>
        </w:rPr>
      </w:pPr>
      <w:r w:rsidRPr="00E3688B">
        <w:rPr>
          <w:i/>
          <w:sz w:val="20"/>
        </w:rPr>
        <w:tab/>
        <w:t>Balance sheet</w:t>
      </w:r>
    </w:p>
    <w:p w:rsidR="00B83890" w:rsidRPr="00E3688B" w:rsidRDefault="00B83890" w:rsidP="00B83890">
      <w:pPr>
        <w:pStyle w:val="NormalIndent"/>
        <w:ind w:left="357" w:hanging="357"/>
        <w:jc w:val="both"/>
        <w:rPr>
          <w:sz w:val="20"/>
        </w:rPr>
      </w:pPr>
      <w:r>
        <w:rPr>
          <w:sz w:val="20"/>
        </w:rPr>
        <w:tab/>
      </w:r>
      <w:r w:rsidRPr="00E3688B">
        <w:rPr>
          <w:sz w:val="20"/>
        </w:rPr>
        <w:t>Assets and liabilities are presented in liquidity order with assets aggregated into financial assets and non-financial assets.</w:t>
      </w:r>
    </w:p>
    <w:p w:rsidR="00B83890" w:rsidRDefault="00B83890" w:rsidP="00B83890">
      <w:pPr>
        <w:pStyle w:val="NormalIndent"/>
        <w:spacing w:before="120"/>
        <w:jc w:val="both"/>
        <w:rPr>
          <w:sz w:val="20"/>
        </w:rPr>
      </w:pPr>
      <w:r>
        <w:rPr>
          <w:sz w:val="20"/>
        </w:rPr>
        <w:tab/>
      </w:r>
      <w:r w:rsidRPr="00E3688B">
        <w:rPr>
          <w:sz w:val="20"/>
        </w:rPr>
        <w:t>Current and non-current assets and liabilities (those expected to be recovered or settled beyond 12 months) are disclosed in the notes, where relevant.</w:t>
      </w:r>
    </w:p>
    <w:p w:rsidR="00B83890" w:rsidRDefault="00B83890" w:rsidP="00751664">
      <w:pPr>
        <w:pStyle w:val="NormalIndent"/>
        <w:jc w:val="both"/>
        <w:rPr>
          <w:sz w:val="20"/>
        </w:rPr>
      </w:pPr>
    </w:p>
    <w:p w:rsidR="00B83890" w:rsidRPr="00E3688B" w:rsidRDefault="00B83890" w:rsidP="00B83890">
      <w:pPr>
        <w:pStyle w:val="NormalIndent"/>
        <w:ind w:left="357" w:hanging="357"/>
        <w:jc w:val="both"/>
        <w:rPr>
          <w:i/>
          <w:sz w:val="20"/>
        </w:rPr>
      </w:pPr>
      <w:r w:rsidRPr="00E3688B">
        <w:rPr>
          <w:i/>
          <w:sz w:val="20"/>
        </w:rPr>
        <w:tab/>
        <w:t>Cash flow statement</w:t>
      </w:r>
    </w:p>
    <w:p w:rsidR="009C0D27" w:rsidRDefault="00B83890" w:rsidP="009C0D27">
      <w:pPr>
        <w:pStyle w:val="NormalIndent"/>
        <w:spacing w:before="120"/>
        <w:jc w:val="both"/>
        <w:rPr>
          <w:sz w:val="20"/>
        </w:rPr>
      </w:pPr>
      <w:r>
        <w:rPr>
          <w:sz w:val="20"/>
        </w:rPr>
        <w:tab/>
      </w:r>
      <w:r w:rsidRPr="00E3688B">
        <w:rPr>
          <w:sz w:val="20"/>
        </w:rPr>
        <w:t>Cash flows are classified according to whether or not they arise from operating, investing, or financing activities. This classification is consistent with requirements under AASB 107 Statement of cash flows.</w:t>
      </w:r>
    </w:p>
    <w:p w:rsidR="00B83890" w:rsidRPr="00E3688B" w:rsidRDefault="00B83890" w:rsidP="009C0D27">
      <w:pPr>
        <w:pStyle w:val="NormalIndent"/>
        <w:spacing w:before="120"/>
        <w:jc w:val="both"/>
        <w:rPr>
          <w:i/>
          <w:sz w:val="20"/>
        </w:rPr>
      </w:pPr>
      <w:r>
        <w:rPr>
          <w:sz w:val="20"/>
        </w:rPr>
        <w:tab/>
      </w:r>
      <w:r w:rsidRPr="00E3688B">
        <w:rPr>
          <w:i/>
          <w:sz w:val="20"/>
        </w:rPr>
        <w:t>Statement of changes in equity</w:t>
      </w:r>
    </w:p>
    <w:p w:rsidR="00B83890" w:rsidRDefault="00B83890" w:rsidP="00B83890">
      <w:pPr>
        <w:pStyle w:val="NormalIndent"/>
        <w:spacing w:before="120"/>
        <w:jc w:val="both"/>
        <w:rPr>
          <w:sz w:val="20"/>
        </w:rPr>
      </w:pPr>
      <w:r>
        <w:rPr>
          <w:sz w:val="20"/>
        </w:rPr>
        <w:tab/>
      </w:r>
      <w:r w:rsidRPr="00E3688B">
        <w:rPr>
          <w:sz w:val="20"/>
        </w:rPr>
        <w:t>The statement of changes in equity presents reconciliations of each non-owner and owner equity opening balance at the beginning of the reporting period to the closing balance at the end of the reporting period. It also shows separately changes due to amounts recognised in the comprehensive result and amounts recognised in other comprehensive income related to other non</w:t>
      </w:r>
      <w:r>
        <w:rPr>
          <w:sz w:val="20"/>
        </w:rPr>
        <w:t>-</w:t>
      </w:r>
      <w:r w:rsidRPr="00E3688B">
        <w:rPr>
          <w:sz w:val="20"/>
        </w:rPr>
        <w:t>owner changes in equity.</w:t>
      </w:r>
    </w:p>
    <w:p w:rsidR="00B83890" w:rsidRPr="00E3688B" w:rsidRDefault="00B83890" w:rsidP="00B83890">
      <w:pPr>
        <w:pStyle w:val="NormalIndent"/>
        <w:ind w:left="357" w:hanging="357"/>
        <w:jc w:val="both"/>
        <w:rPr>
          <w:sz w:val="20"/>
        </w:rPr>
      </w:pPr>
    </w:p>
    <w:p w:rsidR="00B83890" w:rsidRPr="004B1BAA" w:rsidRDefault="00B83890" w:rsidP="00C14C5D">
      <w:pPr>
        <w:pStyle w:val="Heading4"/>
        <w:numPr>
          <w:ilvl w:val="0"/>
          <w:numId w:val="26"/>
        </w:numPr>
      </w:pPr>
      <w:r w:rsidRPr="004B1BAA">
        <w:t>NON-CURRENT PHYSICAL ASSETS</w:t>
      </w:r>
    </w:p>
    <w:p w:rsidR="00B83890" w:rsidRDefault="00B83890" w:rsidP="00B83890">
      <w:pPr>
        <w:pStyle w:val="NormalIndent"/>
        <w:ind w:left="0" w:firstLine="0"/>
        <w:jc w:val="both"/>
        <w:rPr>
          <w:sz w:val="20"/>
        </w:rPr>
      </w:pPr>
      <w:r>
        <w:rPr>
          <w:sz w:val="20"/>
        </w:rPr>
        <w:tab/>
      </w:r>
      <w:r w:rsidRPr="00527BAE">
        <w:rPr>
          <w:sz w:val="20"/>
        </w:rPr>
        <w:t xml:space="preserve">All non-current physical assets are recognised initially at cost and subsequently </w:t>
      </w:r>
      <w:r>
        <w:rPr>
          <w:sz w:val="20"/>
        </w:rPr>
        <w:tab/>
      </w:r>
      <w:r w:rsidRPr="00527BAE">
        <w:rPr>
          <w:sz w:val="20"/>
        </w:rPr>
        <w:t xml:space="preserve">measured at fair value less accumulated depreciation and impairment. </w:t>
      </w:r>
      <w:r>
        <w:rPr>
          <w:sz w:val="20"/>
        </w:rPr>
        <w:t xml:space="preserve">Where an asset is </w:t>
      </w:r>
      <w:r>
        <w:rPr>
          <w:sz w:val="20"/>
        </w:rPr>
        <w:tab/>
        <w:t xml:space="preserve">received for no or nominal consideration, the cost is the asset’s fair value at the date of </w:t>
      </w:r>
      <w:r>
        <w:rPr>
          <w:sz w:val="20"/>
        </w:rPr>
        <w:tab/>
        <w:t>acquisition.</w:t>
      </w:r>
    </w:p>
    <w:p w:rsidR="00B83890" w:rsidRDefault="00B83890" w:rsidP="00B83890">
      <w:pPr>
        <w:pStyle w:val="NormalIndent"/>
        <w:ind w:firstLine="0"/>
        <w:jc w:val="both"/>
        <w:rPr>
          <w:sz w:val="20"/>
        </w:rPr>
      </w:pPr>
    </w:p>
    <w:p w:rsidR="00B83890" w:rsidRPr="00527BAE" w:rsidRDefault="00B83890" w:rsidP="00B83890">
      <w:pPr>
        <w:pStyle w:val="NormalIndent"/>
        <w:ind w:firstLine="0"/>
        <w:jc w:val="both"/>
        <w:rPr>
          <w:sz w:val="20"/>
        </w:rPr>
      </w:pPr>
      <w:r w:rsidRPr="00BF2E53">
        <w:rPr>
          <w:sz w:val="20"/>
        </w:rPr>
        <w:t xml:space="preserve">The fair value of </w:t>
      </w:r>
      <w:r>
        <w:rPr>
          <w:sz w:val="20"/>
        </w:rPr>
        <w:t>the Collections (</w:t>
      </w:r>
      <w:r w:rsidRPr="007656C4">
        <w:rPr>
          <w:sz w:val="20"/>
        </w:rPr>
        <w:t>cultural assets</w:t>
      </w:r>
      <w:r>
        <w:rPr>
          <w:sz w:val="20"/>
        </w:rPr>
        <w:t>)</w:t>
      </w:r>
      <w:r w:rsidRPr="00BF2E53">
        <w:rPr>
          <w:sz w:val="20"/>
        </w:rPr>
        <w:t>, heritage assets and other non-current physical assets that the State intends to preserve because of their unique historical, cultural or scientific attributes, is measured at the replacement cost of the asset less, where applicable, accumulated depreciation (calculated on the basis of such cost to reflect the already consumed or expired future economic benefits of the asset) and any accumulated impairment.</w:t>
      </w:r>
    </w:p>
    <w:p w:rsidR="00B83890" w:rsidRPr="00527BAE" w:rsidRDefault="00B83890" w:rsidP="00B83890">
      <w:pPr>
        <w:pStyle w:val="NormalIndent"/>
        <w:ind w:firstLine="0"/>
        <w:jc w:val="both"/>
        <w:rPr>
          <w:sz w:val="20"/>
        </w:rPr>
      </w:pPr>
    </w:p>
    <w:p w:rsidR="00B83890" w:rsidRPr="00527BAE" w:rsidRDefault="00B83890" w:rsidP="00B83890">
      <w:pPr>
        <w:pStyle w:val="NormalIndent"/>
        <w:ind w:firstLine="0"/>
        <w:jc w:val="both"/>
        <w:rPr>
          <w:sz w:val="20"/>
        </w:rPr>
      </w:pPr>
      <w:r w:rsidRPr="00527BAE">
        <w:rPr>
          <w:sz w:val="20"/>
        </w:rPr>
        <w:t>The fair value of infrastructure systems and plant, equipment and vehicles, is normally determined by reference to the asset’s depreciated replacement cost. For plant and equipment, existing depreciated historical cost is generally a reasonable proxy for depreciated replacement cost because of the short lives of the assets concerned.</w:t>
      </w:r>
    </w:p>
    <w:p w:rsidR="00B83890" w:rsidRPr="00527BAE" w:rsidRDefault="00B83890" w:rsidP="00B83890">
      <w:pPr>
        <w:pStyle w:val="NormalIndent"/>
        <w:ind w:firstLine="0"/>
        <w:jc w:val="both"/>
        <w:rPr>
          <w:sz w:val="20"/>
        </w:rPr>
      </w:pPr>
    </w:p>
    <w:p w:rsidR="00B83890" w:rsidRPr="00850614" w:rsidRDefault="00B83890" w:rsidP="00B83890">
      <w:pPr>
        <w:pStyle w:val="NormalIndent"/>
        <w:ind w:firstLine="0"/>
        <w:jc w:val="both"/>
        <w:rPr>
          <w:i/>
          <w:sz w:val="20"/>
        </w:rPr>
      </w:pPr>
      <w:r w:rsidRPr="00850614">
        <w:rPr>
          <w:i/>
          <w:sz w:val="20"/>
        </w:rPr>
        <w:t>Revaluations of non-current physical assets</w:t>
      </w:r>
    </w:p>
    <w:p w:rsidR="00B83890" w:rsidRPr="00751664" w:rsidRDefault="00B83890" w:rsidP="00751664">
      <w:pPr>
        <w:pStyle w:val="NormalIndent"/>
        <w:ind w:firstLine="0"/>
        <w:jc w:val="both"/>
        <w:rPr>
          <w:sz w:val="20"/>
        </w:rPr>
      </w:pPr>
      <w:r w:rsidRPr="00850614">
        <w:rPr>
          <w:sz w:val="20"/>
        </w:rPr>
        <w:t>Non</w:t>
      </w:r>
      <w:r w:rsidRPr="00850614">
        <w:rPr>
          <w:sz w:val="20"/>
        </w:rPr>
        <w:noBreakHyphen/>
        <w:t>current physical assets measured at fair value are revalued in accordance with the financial reporting directions issued by the Minister for Finance. Revaluations of Land &amp; Buildings and Collections were carried out by independent valuers in 2010–11 as required under the FRD103D.  Revaluation increases or decreases arise from differences between an asset’s carrying value and fair value. Independent valuers carried out a Collections materiality review for 2012–13 and reported that there has not been a material movement in the valuation of the Collectio</w:t>
      </w:r>
      <w:r w:rsidR="00751664">
        <w:rPr>
          <w:sz w:val="20"/>
        </w:rPr>
        <w:t>ns since the last revaluation.</w:t>
      </w:r>
    </w:p>
    <w:p w:rsidR="00B83890" w:rsidRDefault="00B83890" w:rsidP="00B83890">
      <w:pPr>
        <w:keepNext w:val="0"/>
        <w:outlineLvl w:val="9"/>
      </w:pPr>
      <w:r>
        <w:br w:type="page"/>
      </w:r>
    </w:p>
    <w:p w:rsidR="00B83890" w:rsidRDefault="00B83890" w:rsidP="00B83890">
      <w:pPr>
        <w:pStyle w:val="Heading2"/>
        <w:spacing w:before="120" w:after="60"/>
        <w:rPr>
          <w:sz w:val="22"/>
          <w:szCs w:val="22"/>
        </w:rPr>
      </w:pPr>
      <w:r>
        <w:rPr>
          <w:sz w:val="22"/>
          <w:szCs w:val="22"/>
        </w:rPr>
        <w:lastRenderedPageBreak/>
        <w:t xml:space="preserve">1.   SUMMARY OF </w:t>
      </w:r>
      <w:r w:rsidRPr="00D605F7">
        <w:rPr>
          <w:sz w:val="22"/>
          <w:szCs w:val="22"/>
        </w:rPr>
        <w:t>SIGNIFICANT ACCOUNTING POLICIES (CONT’D)</w:t>
      </w:r>
    </w:p>
    <w:p w:rsidR="00B83890" w:rsidRDefault="001442F3" w:rsidP="00B83890">
      <w:pPr>
        <w:pStyle w:val="NormalIndent"/>
        <w:spacing w:before="120" w:after="120"/>
        <w:ind w:left="357" w:hanging="357"/>
      </w:pPr>
      <w:r>
        <w:rPr>
          <w:b/>
        </w:rPr>
        <w:tab/>
      </w:r>
      <w:r w:rsidR="00B83890">
        <w:rPr>
          <w:b/>
        </w:rPr>
        <w:t>(d</w:t>
      </w:r>
      <w:r w:rsidR="00B83890" w:rsidRPr="00706E61">
        <w:rPr>
          <w:b/>
        </w:rPr>
        <w:t>) NON-</w:t>
      </w:r>
      <w:r w:rsidR="00B83890">
        <w:rPr>
          <w:b/>
        </w:rPr>
        <w:t xml:space="preserve">CURRENT PHYSICAL </w:t>
      </w:r>
      <w:r w:rsidR="00B83890" w:rsidRPr="00706E61">
        <w:rPr>
          <w:b/>
        </w:rPr>
        <w:t>ASSETS (cont</w:t>
      </w:r>
      <w:r w:rsidR="00B83890">
        <w:rPr>
          <w:b/>
        </w:rPr>
        <w:t>’</w:t>
      </w:r>
      <w:r w:rsidR="00B83890" w:rsidRPr="00706E61">
        <w:rPr>
          <w:b/>
        </w:rPr>
        <w:t>d)</w:t>
      </w:r>
    </w:p>
    <w:p w:rsidR="00B83890" w:rsidRPr="00527BAE" w:rsidRDefault="00B83890" w:rsidP="00B83890">
      <w:pPr>
        <w:pStyle w:val="NormalIndent"/>
        <w:spacing w:before="120"/>
        <w:jc w:val="both"/>
        <w:rPr>
          <w:sz w:val="20"/>
        </w:rPr>
      </w:pPr>
      <w:r w:rsidRPr="00527BAE">
        <w:rPr>
          <w:sz w:val="20"/>
        </w:rPr>
        <w:tab/>
        <w:t xml:space="preserve">Net revaluation increases are recognised in </w:t>
      </w:r>
      <w:r>
        <w:rPr>
          <w:sz w:val="20"/>
        </w:rPr>
        <w:t xml:space="preserve">‘other economic flows – other movements in equity </w:t>
      </w:r>
      <w:r w:rsidRPr="00527BAE">
        <w:rPr>
          <w:sz w:val="20"/>
        </w:rPr>
        <w:t xml:space="preserve">and accumulated in equity under the </w:t>
      </w:r>
      <w:r>
        <w:rPr>
          <w:sz w:val="20"/>
        </w:rPr>
        <w:t xml:space="preserve">asset </w:t>
      </w:r>
      <w:r w:rsidRPr="00527BAE">
        <w:rPr>
          <w:sz w:val="20"/>
        </w:rPr>
        <w:t xml:space="preserve">revaluation </w:t>
      </w:r>
      <w:r>
        <w:rPr>
          <w:sz w:val="20"/>
        </w:rPr>
        <w:t>surplus. However,</w:t>
      </w:r>
      <w:r w:rsidRPr="00527BAE">
        <w:rPr>
          <w:sz w:val="20"/>
        </w:rPr>
        <w:t xml:space="preserve"> the net revaluation increase </w:t>
      </w:r>
      <w:r>
        <w:rPr>
          <w:sz w:val="20"/>
        </w:rPr>
        <w:t xml:space="preserve">is </w:t>
      </w:r>
      <w:r w:rsidRPr="00527BAE">
        <w:rPr>
          <w:sz w:val="20"/>
        </w:rPr>
        <w:t xml:space="preserve">recognised in the net result to the extent that it reverses a net revaluation decrease in respect of the same class of property, plant and equipment previously recognised as an expense </w:t>
      </w:r>
      <w:r>
        <w:rPr>
          <w:sz w:val="20"/>
        </w:rPr>
        <w:t xml:space="preserve">(other economic flows) </w:t>
      </w:r>
      <w:r w:rsidRPr="00527BAE">
        <w:rPr>
          <w:sz w:val="20"/>
        </w:rPr>
        <w:t>in the net result.</w:t>
      </w:r>
    </w:p>
    <w:p w:rsidR="00B83890" w:rsidRPr="00527BAE" w:rsidRDefault="00B83890" w:rsidP="00B83890">
      <w:pPr>
        <w:pStyle w:val="NormalIndent"/>
        <w:spacing w:before="120"/>
        <w:jc w:val="both"/>
        <w:rPr>
          <w:sz w:val="20"/>
        </w:rPr>
      </w:pPr>
      <w:r w:rsidRPr="00527BAE">
        <w:rPr>
          <w:sz w:val="20"/>
        </w:rPr>
        <w:tab/>
        <w:t xml:space="preserve">Net revaluation decreases are recognised immediately as </w:t>
      </w:r>
      <w:r>
        <w:rPr>
          <w:sz w:val="20"/>
        </w:rPr>
        <w:t xml:space="preserve">other economic flows </w:t>
      </w:r>
      <w:r w:rsidRPr="00527BAE">
        <w:rPr>
          <w:sz w:val="20"/>
        </w:rPr>
        <w:t xml:space="preserve">in the net result, except that the net revaluation </w:t>
      </w:r>
      <w:r>
        <w:rPr>
          <w:sz w:val="20"/>
        </w:rPr>
        <w:t xml:space="preserve">decrease is </w:t>
      </w:r>
      <w:r w:rsidRPr="00527BAE">
        <w:rPr>
          <w:sz w:val="20"/>
        </w:rPr>
        <w:t xml:space="preserve">recognised in </w:t>
      </w:r>
      <w:r>
        <w:rPr>
          <w:sz w:val="20"/>
        </w:rPr>
        <w:t xml:space="preserve">‘other economic flows – other comprehensive income’ </w:t>
      </w:r>
      <w:r w:rsidRPr="00527BAE">
        <w:rPr>
          <w:sz w:val="20"/>
        </w:rPr>
        <w:t xml:space="preserve">to the extent that a credit balance exists in the </w:t>
      </w:r>
      <w:r>
        <w:rPr>
          <w:sz w:val="20"/>
        </w:rPr>
        <w:t xml:space="preserve">asset </w:t>
      </w:r>
      <w:r w:rsidRPr="00527BAE">
        <w:rPr>
          <w:sz w:val="20"/>
        </w:rPr>
        <w:t xml:space="preserve">revaluation </w:t>
      </w:r>
      <w:r>
        <w:rPr>
          <w:sz w:val="20"/>
        </w:rPr>
        <w:t xml:space="preserve">surplus </w:t>
      </w:r>
      <w:r w:rsidRPr="00527BAE">
        <w:rPr>
          <w:sz w:val="20"/>
        </w:rPr>
        <w:t>in respect of the same class of property, plant and</w:t>
      </w:r>
      <w:r>
        <w:rPr>
          <w:sz w:val="20"/>
        </w:rPr>
        <w:t xml:space="preserve"> </w:t>
      </w:r>
      <w:r w:rsidRPr="00527BAE">
        <w:rPr>
          <w:sz w:val="20"/>
        </w:rPr>
        <w:t xml:space="preserve">equipment. The net revaluation decrease recognised in </w:t>
      </w:r>
      <w:r>
        <w:rPr>
          <w:sz w:val="20"/>
        </w:rPr>
        <w:t xml:space="preserve">‘other economic flows – other movements in equity’ </w:t>
      </w:r>
      <w:r w:rsidRPr="00527BAE">
        <w:rPr>
          <w:sz w:val="20"/>
        </w:rPr>
        <w:t xml:space="preserve">reduces the amount accumulated in equity under </w:t>
      </w:r>
      <w:r>
        <w:rPr>
          <w:sz w:val="20"/>
        </w:rPr>
        <w:t xml:space="preserve">the asset </w:t>
      </w:r>
      <w:r w:rsidRPr="00527BAE">
        <w:rPr>
          <w:sz w:val="20"/>
        </w:rPr>
        <w:t xml:space="preserve">revaluation </w:t>
      </w:r>
      <w:r>
        <w:rPr>
          <w:sz w:val="20"/>
        </w:rPr>
        <w:t>surplus</w:t>
      </w:r>
      <w:r w:rsidRPr="00527BAE">
        <w:rPr>
          <w:sz w:val="20"/>
        </w:rPr>
        <w:t>.</w:t>
      </w:r>
    </w:p>
    <w:p w:rsidR="00B83890" w:rsidRDefault="00B83890" w:rsidP="00B83890">
      <w:pPr>
        <w:pStyle w:val="NormalIndent"/>
        <w:spacing w:before="120"/>
        <w:jc w:val="both"/>
        <w:rPr>
          <w:sz w:val="20"/>
        </w:rPr>
      </w:pPr>
      <w:r>
        <w:rPr>
          <w:sz w:val="20"/>
        </w:rPr>
        <w:tab/>
      </w:r>
      <w:r w:rsidRPr="00527BAE">
        <w:rPr>
          <w:sz w:val="20"/>
        </w:rPr>
        <w:t>Revaluation increases and decreases relating to individual assets within a class of property, plant and equipment are offset against one another within that class but are not offset in respect of assets in different classes.</w:t>
      </w:r>
    </w:p>
    <w:p w:rsidR="00B83890" w:rsidRDefault="00B83890" w:rsidP="00B83890">
      <w:pPr>
        <w:pStyle w:val="NormalIndent"/>
        <w:ind w:left="357" w:hanging="357"/>
        <w:jc w:val="both"/>
        <w:rPr>
          <w:sz w:val="20"/>
        </w:rPr>
      </w:pPr>
    </w:p>
    <w:p w:rsidR="00B83890" w:rsidRDefault="00B83890" w:rsidP="009C0D27">
      <w:pPr>
        <w:pStyle w:val="NormalIndent"/>
        <w:ind w:left="357" w:hanging="357"/>
        <w:jc w:val="both"/>
        <w:rPr>
          <w:sz w:val="20"/>
        </w:rPr>
      </w:pPr>
      <w:r>
        <w:rPr>
          <w:sz w:val="20"/>
        </w:rPr>
        <w:tab/>
      </w:r>
      <w:r w:rsidRPr="00527BAE">
        <w:rPr>
          <w:sz w:val="20"/>
        </w:rPr>
        <w:t xml:space="preserve">Any </w:t>
      </w:r>
      <w:r>
        <w:rPr>
          <w:sz w:val="20"/>
        </w:rPr>
        <w:t xml:space="preserve">asset </w:t>
      </w:r>
      <w:r w:rsidRPr="00527BAE">
        <w:rPr>
          <w:sz w:val="20"/>
        </w:rPr>
        <w:t>revaluation surplus is not normally transferred to accumulated funds on de-recognition of the relevant asset.</w:t>
      </w:r>
    </w:p>
    <w:p w:rsidR="009C0D27" w:rsidRPr="005463BE" w:rsidRDefault="009C0D27" w:rsidP="009C0D27">
      <w:pPr>
        <w:pStyle w:val="NormalIndent"/>
        <w:ind w:left="357" w:hanging="357"/>
        <w:jc w:val="both"/>
        <w:rPr>
          <w:i/>
          <w:sz w:val="12"/>
          <w:szCs w:val="12"/>
        </w:rPr>
      </w:pPr>
    </w:p>
    <w:p w:rsidR="00B83890" w:rsidRPr="00A03FD6" w:rsidRDefault="00B83890" w:rsidP="00B83890">
      <w:pPr>
        <w:pStyle w:val="NormalIndent"/>
        <w:ind w:left="0" w:firstLine="0"/>
        <w:jc w:val="both"/>
        <w:rPr>
          <w:i/>
          <w:sz w:val="20"/>
        </w:rPr>
      </w:pPr>
      <w:r w:rsidRPr="00A03FD6">
        <w:rPr>
          <w:i/>
          <w:sz w:val="20"/>
        </w:rPr>
        <w:tab/>
        <w:t>D</w:t>
      </w:r>
      <w:r>
        <w:rPr>
          <w:i/>
          <w:sz w:val="20"/>
        </w:rPr>
        <w:t>epreciation</w:t>
      </w:r>
    </w:p>
    <w:p w:rsidR="00B83890" w:rsidRPr="00A03FD6" w:rsidRDefault="00B83890" w:rsidP="00B83890">
      <w:pPr>
        <w:pStyle w:val="NormalIndent"/>
        <w:spacing w:before="60"/>
        <w:ind w:left="357" w:firstLine="0"/>
        <w:jc w:val="both"/>
        <w:rPr>
          <w:sz w:val="20"/>
        </w:rPr>
      </w:pPr>
      <w:r w:rsidRPr="00A03FD6">
        <w:rPr>
          <w:sz w:val="20"/>
        </w:rPr>
        <w:t xml:space="preserve">Depreciation is charged on non-current </w:t>
      </w:r>
      <w:r>
        <w:rPr>
          <w:sz w:val="20"/>
        </w:rPr>
        <w:t xml:space="preserve">physical </w:t>
      </w:r>
      <w:r w:rsidRPr="00A03FD6">
        <w:rPr>
          <w:sz w:val="20"/>
        </w:rPr>
        <w:t xml:space="preserve">assets, other than land, at rates assessed to match the cost </w:t>
      </w:r>
      <w:r>
        <w:rPr>
          <w:sz w:val="20"/>
        </w:rPr>
        <w:t xml:space="preserve">or other revalued amount </w:t>
      </w:r>
      <w:r w:rsidRPr="00A03FD6">
        <w:rPr>
          <w:sz w:val="20"/>
        </w:rPr>
        <w:t>of these assets ag</w:t>
      </w:r>
      <w:r>
        <w:rPr>
          <w:sz w:val="20"/>
        </w:rPr>
        <w:t>ainst their estimated useful</w:t>
      </w:r>
      <w:r w:rsidRPr="00A03FD6">
        <w:rPr>
          <w:sz w:val="20"/>
        </w:rPr>
        <w:t xml:space="preserve"> lives to the entity.</w:t>
      </w:r>
    </w:p>
    <w:p w:rsidR="00B83890" w:rsidRDefault="00B83890" w:rsidP="00B83890">
      <w:pPr>
        <w:pStyle w:val="NormalIndent"/>
        <w:spacing w:before="120"/>
        <w:jc w:val="both"/>
        <w:rPr>
          <w:sz w:val="20"/>
        </w:rPr>
      </w:pPr>
      <w:r>
        <w:rPr>
          <w:sz w:val="20"/>
        </w:rPr>
        <w:tab/>
      </w:r>
      <w:r w:rsidRPr="00A03FD6">
        <w:rPr>
          <w:sz w:val="20"/>
        </w:rPr>
        <w:t xml:space="preserve">Depreciation is </w:t>
      </w:r>
      <w:r>
        <w:rPr>
          <w:sz w:val="20"/>
        </w:rPr>
        <w:t xml:space="preserve">calculated on the straight-line method. No provision is made for the depreciation of the Collections or for the Library Collection </w:t>
      </w:r>
      <w:r w:rsidRPr="007656C4">
        <w:rPr>
          <w:sz w:val="20"/>
        </w:rPr>
        <w:t>Rare</w:t>
      </w:r>
      <w:r>
        <w:rPr>
          <w:sz w:val="20"/>
        </w:rPr>
        <w:t xml:space="preserve"> and High Value</w:t>
      </w:r>
      <w:r w:rsidRPr="007656C4">
        <w:rPr>
          <w:sz w:val="20"/>
        </w:rPr>
        <w:t xml:space="preserve"> Books</w:t>
      </w:r>
      <w:r>
        <w:rPr>
          <w:sz w:val="20"/>
        </w:rPr>
        <w:t xml:space="preserve"> as they are heritage assets and are deemed to have an indefinite useful life. </w:t>
      </w:r>
    </w:p>
    <w:p w:rsidR="00B83890" w:rsidRDefault="00B83890" w:rsidP="00B83890">
      <w:pPr>
        <w:pStyle w:val="NormalIndent"/>
        <w:spacing w:before="120"/>
        <w:rPr>
          <w:sz w:val="20"/>
        </w:rPr>
      </w:pPr>
      <w:r>
        <w:rPr>
          <w:sz w:val="20"/>
        </w:rPr>
        <w:tab/>
      </w:r>
      <w:r w:rsidRPr="00881CAB">
        <w:rPr>
          <w:sz w:val="20"/>
        </w:rPr>
        <w:t>Depreciation of an asset begins when it is available for use. Prior to depreciation commencing, an asset will be reported as work-in-progress.</w:t>
      </w:r>
      <w:r>
        <w:rPr>
          <w:sz w:val="20"/>
        </w:rPr>
        <w:br/>
      </w:r>
    </w:p>
    <w:p w:rsidR="00B83890" w:rsidRDefault="00B83890" w:rsidP="00B83890">
      <w:pPr>
        <w:pStyle w:val="NormalIndent"/>
        <w:tabs>
          <w:tab w:val="clear" w:pos="360"/>
          <w:tab w:val="clear" w:pos="720"/>
          <w:tab w:val="clear" w:pos="1440"/>
        </w:tabs>
        <w:spacing w:before="60"/>
        <w:ind w:left="357" w:hanging="357"/>
        <w:jc w:val="both"/>
        <w:rPr>
          <w:sz w:val="20"/>
        </w:rPr>
      </w:pPr>
      <w:r>
        <w:rPr>
          <w:sz w:val="20"/>
        </w:rPr>
        <w:tab/>
        <w:t>Estimates of remaining useful lives to the entity are made on an annual basis for all assets, with annual assessments for all classes. The following are the estimated useful lives for the different asset classes for current and prior years.</w:t>
      </w:r>
    </w:p>
    <w:p w:rsidR="00B83890" w:rsidRDefault="008F2148" w:rsidP="00B83890">
      <w:pPr>
        <w:pStyle w:val="NormalIndent"/>
        <w:spacing w:before="40"/>
        <w:ind w:left="720" w:firstLine="0"/>
        <w:jc w:val="both"/>
        <w:rPr>
          <w:sz w:val="20"/>
        </w:rPr>
      </w:pPr>
      <w:r>
        <w:rPr>
          <w:sz w:val="20"/>
        </w:rPr>
        <w:t>Buildings</w:t>
      </w:r>
      <w:r>
        <w:rPr>
          <w:sz w:val="20"/>
        </w:rPr>
        <w:tab/>
      </w:r>
      <w:r>
        <w:rPr>
          <w:sz w:val="20"/>
        </w:rPr>
        <w:tab/>
      </w:r>
      <w:r>
        <w:rPr>
          <w:sz w:val="20"/>
        </w:rPr>
        <w:tab/>
      </w:r>
      <w:r>
        <w:rPr>
          <w:sz w:val="20"/>
        </w:rPr>
        <w:tab/>
      </w:r>
      <w:r>
        <w:rPr>
          <w:sz w:val="20"/>
        </w:rPr>
        <w:tab/>
      </w:r>
      <w:r w:rsidR="00B83890">
        <w:rPr>
          <w:sz w:val="20"/>
        </w:rPr>
        <w:t>20-100 years</w:t>
      </w:r>
    </w:p>
    <w:p w:rsidR="00B83890" w:rsidRDefault="00B83890" w:rsidP="00B83890">
      <w:pPr>
        <w:pStyle w:val="NormalIndent"/>
        <w:spacing w:before="40"/>
        <w:ind w:left="720" w:firstLine="0"/>
        <w:jc w:val="both"/>
        <w:rPr>
          <w:sz w:val="20"/>
        </w:rPr>
      </w:pPr>
      <w:r>
        <w:rPr>
          <w:sz w:val="20"/>
        </w:rPr>
        <w:t>Plant and equipment</w:t>
      </w:r>
      <w:r w:rsidR="008F2148">
        <w:rPr>
          <w:sz w:val="20"/>
        </w:rPr>
        <w:tab/>
      </w:r>
      <w:r w:rsidR="008F2148">
        <w:rPr>
          <w:sz w:val="20"/>
        </w:rPr>
        <w:tab/>
      </w:r>
      <w:r w:rsidR="008F2148">
        <w:rPr>
          <w:sz w:val="20"/>
        </w:rPr>
        <w:tab/>
      </w:r>
      <w:r w:rsidR="008F2148">
        <w:rPr>
          <w:sz w:val="20"/>
        </w:rPr>
        <w:tab/>
      </w:r>
      <w:r>
        <w:rPr>
          <w:sz w:val="20"/>
        </w:rPr>
        <w:t>1-20 years</w:t>
      </w:r>
    </w:p>
    <w:p w:rsidR="00B83890" w:rsidRDefault="00B83890" w:rsidP="00B83890">
      <w:pPr>
        <w:pStyle w:val="NormalIndent"/>
        <w:spacing w:before="40"/>
        <w:ind w:left="720" w:firstLine="0"/>
        <w:jc w:val="both"/>
        <w:rPr>
          <w:sz w:val="20"/>
        </w:rPr>
      </w:pPr>
      <w:r>
        <w:rPr>
          <w:sz w:val="20"/>
        </w:rPr>
        <w:t>Exhibitions</w:t>
      </w:r>
      <w:r w:rsidR="008F2148">
        <w:rPr>
          <w:sz w:val="20"/>
        </w:rPr>
        <w:tab/>
      </w:r>
      <w:r w:rsidR="008F2148">
        <w:rPr>
          <w:sz w:val="20"/>
        </w:rPr>
        <w:tab/>
      </w:r>
      <w:r w:rsidR="008F2148">
        <w:rPr>
          <w:sz w:val="20"/>
        </w:rPr>
        <w:tab/>
      </w:r>
      <w:r w:rsidR="008F2148">
        <w:rPr>
          <w:sz w:val="20"/>
        </w:rPr>
        <w:tab/>
      </w:r>
      <w:r w:rsidR="008F2148">
        <w:rPr>
          <w:sz w:val="20"/>
        </w:rPr>
        <w:tab/>
      </w:r>
      <w:r>
        <w:rPr>
          <w:sz w:val="20"/>
        </w:rPr>
        <w:t>1-5 years</w:t>
      </w:r>
    </w:p>
    <w:p w:rsidR="00B83890" w:rsidRDefault="00B83890" w:rsidP="00B83890">
      <w:pPr>
        <w:pStyle w:val="NormalIndent"/>
        <w:spacing w:before="40"/>
        <w:ind w:left="720" w:firstLine="0"/>
        <w:jc w:val="both"/>
        <w:rPr>
          <w:sz w:val="20"/>
        </w:rPr>
      </w:pPr>
      <w:r>
        <w:rPr>
          <w:sz w:val="20"/>
        </w:rPr>
        <w:t>Library (non-Rare or High Value items)</w:t>
      </w:r>
      <w:r w:rsidR="008F2148">
        <w:rPr>
          <w:sz w:val="20"/>
        </w:rPr>
        <w:tab/>
      </w:r>
      <w:r w:rsidR="008F2148">
        <w:rPr>
          <w:sz w:val="20"/>
        </w:rPr>
        <w:tab/>
        <w:t xml:space="preserve"> </w:t>
      </w:r>
      <w:r>
        <w:rPr>
          <w:sz w:val="20"/>
        </w:rPr>
        <w:t>50 years</w:t>
      </w:r>
    </w:p>
    <w:p w:rsidR="00B83890" w:rsidRDefault="00B83890" w:rsidP="00B83890">
      <w:pPr>
        <w:pStyle w:val="NormalIndent"/>
        <w:spacing w:before="120" w:after="120"/>
        <w:jc w:val="both"/>
        <w:rPr>
          <w:sz w:val="20"/>
        </w:rPr>
      </w:pPr>
      <w:r>
        <w:rPr>
          <w:sz w:val="20"/>
        </w:rPr>
        <w:tab/>
        <w:t xml:space="preserve">Exhibitions with a life of one year or less are expensed immediately. Exhibitions with an anticipated life of more than one year are capitalised and depreciated over their remaining useful life. </w:t>
      </w:r>
    </w:p>
    <w:p w:rsidR="00B83890" w:rsidRPr="00822CF0" w:rsidRDefault="00B83890" w:rsidP="00B83890">
      <w:pPr>
        <w:ind w:firstLine="360"/>
        <w:rPr>
          <w:rFonts w:cs="Arial"/>
          <w:i/>
        </w:rPr>
      </w:pPr>
      <w:r w:rsidRPr="00822CF0">
        <w:rPr>
          <w:rFonts w:cs="Arial"/>
          <w:i/>
        </w:rPr>
        <w:t>Disposal of Non-Financial Assets</w:t>
      </w:r>
    </w:p>
    <w:p w:rsidR="00B83890" w:rsidRDefault="00B83890" w:rsidP="00B83890">
      <w:pPr>
        <w:spacing w:before="60"/>
        <w:ind w:left="357"/>
        <w:rPr>
          <w:rFonts w:cs="Arial"/>
        </w:rPr>
      </w:pPr>
      <w:r w:rsidRPr="00822CF0">
        <w:rPr>
          <w:rFonts w:cs="Arial"/>
        </w:rPr>
        <w:t>Any gain or loss on the sale of non-financial assets is recognised at the date that control of the asset is passed to the buyer and is determined after deducting from the proceeds the carrying value of the asset at that time.</w:t>
      </w:r>
    </w:p>
    <w:p w:rsidR="00B83890" w:rsidRPr="00B26D8D" w:rsidRDefault="00B83890" w:rsidP="00B83890">
      <w:pPr>
        <w:spacing w:before="60"/>
        <w:ind w:left="357"/>
        <w:rPr>
          <w:rFonts w:cs="Arial"/>
          <w:i/>
        </w:rPr>
      </w:pPr>
      <w:r w:rsidRPr="003A253A">
        <w:rPr>
          <w:rFonts w:cs="Arial"/>
          <w:i/>
        </w:rPr>
        <w:t>Impairment of Assets</w:t>
      </w:r>
    </w:p>
    <w:p w:rsidR="00B83890" w:rsidRPr="00F81E96" w:rsidRDefault="00B83890" w:rsidP="00B83890">
      <w:pPr>
        <w:pStyle w:val="NormalIndent"/>
        <w:spacing w:before="60"/>
        <w:ind w:left="357" w:hanging="357"/>
        <w:jc w:val="both"/>
        <w:rPr>
          <w:sz w:val="20"/>
        </w:rPr>
      </w:pPr>
      <w:r>
        <w:rPr>
          <w:sz w:val="20"/>
        </w:rPr>
        <w:tab/>
      </w:r>
      <w:r w:rsidRPr="00F81E96">
        <w:rPr>
          <w:sz w:val="20"/>
        </w:rPr>
        <w:t>Assets are assessed annually for indica</w:t>
      </w:r>
      <w:r>
        <w:rPr>
          <w:sz w:val="20"/>
        </w:rPr>
        <w:t xml:space="preserve">tions of impairment, </w:t>
      </w:r>
      <w:r w:rsidRPr="008F09DA">
        <w:rPr>
          <w:sz w:val="20"/>
        </w:rPr>
        <w:t>except for inventories (refer Note 1(e)).</w:t>
      </w:r>
    </w:p>
    <w:p w:rsidR="00B83890" w:rsidRDefault="00B83890" w:rsidP="00B83890">
      <w:pPr>
        <w:pStyle w:val="NormalIndent"/>
        <w:spacing w:before="120"/>
        <w:jc w:val="both"/>
        <w:rPr>
          <w:sz w:val="20"/>
        </w:rPr>
      </w:pPr>
      <w:r w:rsidRPr="00F81E96">
        <w:rPr>
          <w:sz w:val="20"/>
        </w:rPr>
        <w:tab/>
        <w:t xml:space="preserve">If there is an indication of impairment, the assets concerned are tested as to whether their carrying value exceeds their possible recoverable amount. Where an asset’s carrying value exceeds its recoverable amount, the difference is written off by a charge to the </w:t>
      </w:r>
      <w:r>
        <w:rPr>
          <w:sz w:val="20"/>
        </w:rPr>
        <w:t>Comprehensive O</w:t>
      </w:r>
      <w:r w:rsidRPr="00F81E96">
        <w:rPr>
          <w:sz w:val="20"/>
        </w:rPr>
        <w:t xml:space="preserve">perating </w:t>
      </w:r>
      <w:r>
        <w:rPr>
          <w:sz w:val="20"/>
        </w:rPr>
        <w:t>S</w:t>
      </w:r>
      <w:r w:rsidRPr="00F81E96">
        <w:rPr>
          <w:sz w:val="20"/>
        </w:rPr>
        <w:t xml:space="preserve">tatement except to the extent that the write-down can be debited to an asset revaluation </w:t>
      </w:r>
      <w:r>
        <w:rPr>
          <w:sz w:val="20"/>
        </w:rPr>
        <w:t>surplus</w:t>
      </w:r>
      <w:r w:rsidRPr="00F81E96">
        <w:rPr>
          <w:sz w:val="20"/>
        </w:rPr>
        <w:t xml:space="preserve"> amount applicable to that class of asset.</w:t>
      </w:r>
    </w:p>
    <w:p w:rsidR="00B83890" w:rsidRDefault="00B83890" w:rsidP="00B83890">
      <w:pPr>
        <w:pStyle w:val="NormalIndent"/>
        <w:spacing w:before="120"/>
        <w:jc w:val="both"/>
        <w:rPr>
          <w:sz w:val="20"/>
        </w:rPr>
      </w:pPr>
    </w:p>
    <w:p w:rsidR="00B83890" w:rsidRDefault="00B83890" w:rsidP="00C14C5D">
      <w:pPr>
        <w:pStyle w:val="Heading2"/>
        <w:numPr>
          <w:ilvl w:val="0"/>
          <w:numId w:val="25"/>
        </w:numPr>
        <w:tabs>
          <w:tab w:val="clear" w:pos="720"/>
        </w:tabs>
        <w:spacing w:before="120" w:after="60"/>
        <w:ind w:left="354" w:hanging="354"/>
        <w:rPr>
          <w:sz w:val="22"/>
          <w:szCs w:val="22"/>
        </w:rPr>
      </w:pPr>
      <w:r>
        <w:rPr>
          <w:sz w:val="22"/>
          <w:szCs w:val="22"/>
        </w:rPr>
        <w:lastRenderedPageBreak/>
        <w:t xml:space="preserve">SUMMARY OF </w:t>
      </w:r>
      <w:r w:rsidRPr="00D605F7">
        <w:rPr>
          <w:sz w:val="22"/>
          <w:szCs w:val="22"/>
        </w:rPr>
        <w:t>SIGNIFICANT ACCOUNTING POLICIES (CONT’D)</w:t>
      </w:r>
    </w:p>
    <w:p w:rsidR="00B83890" w:rsidRPr="00662E6D" w:rsidRDefault="00B83890" w:rsidP="004B1BAA">
      <w:pPr>
        <w:pStyle w:val="Heading4"/>
        <w:ind w:firstLine="354"/>
        <w:rPr>
          <w:i/>
        </w:rPr>
      </w:pPr>
      <w:r w:rsidRPr="00662E6D">
        <w:t xml:space="preserve">(e)  INVENTORIES </w:t>
      </w:r>
    </w:p>
    <w:p w:rsidR="00B83890" w:rsidRDefault="00B83890" w:rsidP="00B83890">
      <w:pPr>
        <w:pStyle w:val="NormalIndent"/>
        <w:spacing w:before="60"/>
        <w:ind w:left="357" w:hanging="357"/>
        <w:jc w:val="both"/>
        <w:rPr>
          <w:sz w:val="20"/>
        </w:rPr>
      </w:pPr>
      <w:r>
        <w:rPr>
          <w:sz w:val="20"/>
        </w:rPr>
        <w:tab/>
      </w:r>
      <w:r w:rsidRPr="009E08EC">
        <w:rPr>
          <w:sz w:val="20"/>
        </w:rPr>
        <w:t>Inventories include goods and other property held either for sale or for distribution at no or nominal cost in the ordinary course of business operations. It excludes depreciable assets.</w:t>
      </w:r>
    </w:p>
    <w:p w:rsidR="00B83890" w:rsidRDefault="00B83890" w:rsidP="00B83890">
      <w:pPr>
        <w:pStyle w:val="NormalIndent"/>
        <w:spacing w:before="120"/>
        <w:jc w:val="both"/>
        <w:rPr>
          <w:sz w:val="20"/>
        </w:rPr>
      </w:pPr>
      <w:r>
        <w:rPr>
          <w:sz w:val="20"/>
        </w:rPr>
        <w:tab/>
      </w:r>
      <w:r w:rsidRPr="009E08EC">
        <w:rPr>
          <w:sz w:val="20"/>
        </w:rPr>
        <w:t>Inventories are measured at the lower of cost</w:t>
      </w:r>
      <w:r>
        <w:rPr>
          <w:sz w:val="20"/>
        </w:rPr>
        <w:t xml:space="preserve"> or net realisable value.</w:t>
      </w:r>
    </w:p>
    <w:p w:rsidR="004B1BAA" w:rsidRDefault="004B1BAA" w:rsidP="00B83890">
      <w:pPr>
        <w:pStyle w:val="NormalIndent"/>
        <w:spacing w:before="120"/>
        <w:jc w:val="both"/>
        <w:rPr>
          <w:sz w:val="20"/>
        </w:rPr>
      </w:pPr>
    </w:p>
    <w:p w:rsidR="00B83890" w:rsidRPr="00662E6D" w:rsidRDefault="00B83890" w:rsidP="004B1BAA">
      <w:pPr>
        <w:pStyle w:val="Heading4"/>
        <w:ind w:firstLine="357"/>
        <w:rPr>
          <w:i/>
        </w:rPr>
      </w:pPr>
      <w:r w:rsidRPr="00662E6D">
        <w:t xml:space="preserve">(f)  RECEIVABLES </w:t>
      </w:r>
    </w:p>
    <w:p w:rsidR="00B83890" w:rsidRDefault="00B83890" w:rsidP="00B83890">
      <w:pPr>
        <w:pStyle w:val="NormalIndent"/>
        <w:spacing w:before="60"/>
        <w:ind w:left="357" w:hanging="357"/>
        <w:jc w:val="both"/>
        <w:rPr>
          <w:sz w:val="20"/>
        </w:rPr>
      </w:pPr>
      <w:r>
        <w:rPr>
          <w:sz w:val="20"/>
        </w:rPr>
        <w:tab/>
        <w:t xml:space="preserve">Trade debtors are recognised at the amount receivable, as they are due for settlement no more than 30 days from the date of recognition. Collectability of trade debtors is reviewed on an ongoing basis. A provision for doubtful debts is raised when there is objective evidence that the debts will not be collected. Bad debts are written off when identified. </w:t>
      </w:r>
    </w:p>
    <w:p w:rsidR="004B1BAA" w:rsidRDefault="004B1BAA" w:rsidP="00B83890">
      <w:pPr>
        <w:pStyle w:val="NormalIndent"/>
        <w:spacing w:before="60"/>
        <w:ind w:left="357" w:hanging="357"/>
        <w:jc w:val="both"/>
        <w:rPr>
          <w:sz w:val="20"/>
        </w:rPr>
      </w:pPr>
    </w:p>
    <w:p w:rsidR="00B83890" w:rsidRPr="008F09DA" w:rsidRDefault="00B83890" w:rsidP="004B1BAA">
      <w:pPr>
        <w:pStyle w:val="Heading4"/>
        <w:ind w:firstLine="357"/>
        <w:rPr>
          <w:sz w:val="20"/>
        </w:rPr>
      </w:pPr>
      <w:r>
        <w:rPr>
          <w:sz w:val="20"/>
        </w:rPr>
        <w:t>(g)</w:t>
      </w:r>
      <w:r>
        <w:rPr>
          <w:sz w:val="20"/>
        </w:rPr>
        <w:tab/>
      </w:r>
      <w:r w:rsidRPr="008F09DA">
        <w:t>INCOME FROM TRANSACTIONS</w:t>
      </w:r>
    </w:p>
    <w:p w:rsidR="00B83890" w:rsidRPr="008F09DA" w:rsidRDefault="00B83890" w:rsidP="00B83890">
      <w:pPr>
        <w:pStyle w:val="NormalIndent"/>
        <w:spacing w:before="60"/>
        <w:ind w:left="357" w:hanging="357"/>
        <w:jc w:val="both"/>
        <w:rPr>
          <w:sz w:val="20"/>
        </w:rPr>
      </w:pPr>
      <w:r w:rsidRPr="008F09DA">
        <w:rPr>
          <w:sz w:val="20"/>
        </w:rPr>
        <w:tab/>
        <w:t>Income from fees and charges is recognised at the time of attendance by visitors paying fees and charge</w:t>
      </w:r>
      <w:r>
        <w:rPr>
          <w:sz w:val="20"/>
        </w:rPr>
        <w:t>s</w:t>
      </w:r>
      <w:r w:rsidRPr="008F09DA">
        <w:rPr>
          <w:sz w:val="20"/>
        </w:rPr>
        <w:t>.</w:t>
      </w:r>
    </w:p>
    <w:p w:rsidR="00B83890" w:rsidRPr="008F09DA" w:rsidRDefault="00B83890" w:rsidP="00B83890">
      <w:pPr>
        <w:pStyle w:val="NormalIndent"/>
        <w:spacing w:before="60"/>
        <w:ind w:left="357" w:hanging="357"/>
        <w:jc w:val="both"/>
        <w:rPr>
          <w:sz w:val="20"/>
        </w:rPr>
      </w:pPr>
      <w:r>
        <w:rPr>
          <w:sz w:val="20"/>
        </w:rPr>
        <w:tab/>
      </w:r>
      <w:r w:rsidRPr="008F09DA">
        <w:rPr>
          <w:sz w:val="20"/>
        </w:rPr>
        <w:t>Income from the sale of goods and services is recognised upon delivery of the goods and services to the customer.</w:t>
      </w:r>
    </w:p>
    <w:p w:rsidR="00B83890" w:rsidRPr="008F09DA" w:rsidRDefault="00B83890" w:rsidP="00B83890">
      <w:pPr>
        <w:pStyle w:val="NormalIndent"/>
        <w:spacing w:before="120"/>
        <w:ind w:firstLine="0"/>
        <w:jc w:val="both"/>
        <w:rPr>
          <w:sz w:val="20"/>
        </w:rPr>
      </w:pPr>
      <w:r w:rsidRPr="008F09DA">
        <w:rPr>
          <w:sz w:val="20"/>
        </w:rPr>
        <w:t xml:space="preserve">Interest income is recognised on the proportional basis taking into account interest rates applicable to the financial assets. </w:t>
      </w:r>
    </w:p>
    <w:p w:rsidR="00B83890" w:rsidRPr="008F09DA" w:rsidRDefault="00B83890" w:rsidP="00B83890">
      <w:pPr>
        <w:pStyle w:val="NormalIndent"/>
        <w:spacing w:before="120"/>
        <w:ind w:left="357" w:firstLine="0"/>
        <w:jc w:val="both"/>
        <w:rPr>
          <w:sz w:val="20"/>
        </w:rPr>
      </w:pPr>
      <w:r w:rsidRPr="008F09DA">
        <w:rPr>
          <w:sz w:val="20"/>
        </w:rPr>
        <w:t>Grants from Government and other sources are brought to account as income as and when received, and when the Museum gains control of the underlying assets.</w:t>
      </w:r>
      <w:r w:rsidRPr="008F09DA">
        <w:t xml:space="preserve"> </w:t>
      </w:r>
      <w:r w:rsidRPr="008F09DA">
        <w:rPr>
          <w:sz w:val="20"/>
        </w:rPr>
        <w:t xml:space="preserve">For non-reciprocal grants, the Museum is deemed to have assumed control when the grant is received or receivable. Expenditure from such grants is recognised when incurred. </w:t>
      </w:r>
    </w:p>
    <w:p w:rsidR="00B83890" w:rsidRDefault="00B83890" w:rsidP="00B83890">
      <w:pPr>
        <w:pStyle w:val="NormalIndent"/>
        <w:spacing w:before="120"/>
        <w:ind w:left="357" w:firstLine="0"/>
        <w:jc w:val="both"/>
        <w:rPr>
          <w:sz w:val="20"/>
        </w:rPr>
      </w:pPr>
      <w:r w:rsidRPr="008F09DA">
        <w:rPr>
          <w:sz w:val="20"/>
        </w:rPr>
        <w:t>Specific donations, for exhibition development have been treated in these financial statements as income, when received</w:t>
      </w:r>
      <w:r>
        <w:rPr>
          <w:sz w:val="20"/>
        </w:rPr>
        <w:t xml:space="preserve"> or receivable.</w:t>
      </w:r>
    </w:p>
    <w:p w:rsidR="004B1BAA" w:rsidRDefault="004B1BAA" w:rsidP="00B83890">
      <w:pPr>
        <w:pStyle w:val="NormalIndent"/>
        <w:spacing w:before="120"/>
        <w:ind w:left="357" w:firstLine="0"/>
        <w:jc w:val="both"/>
        <w:rPr>
          <w:b/>
        </w:rPr>
      </w:pPr>
    </w:p>
    <w:p w:rsidR="00B83890" w:rsidRPr="00881CAB" w:rsidRDefault="00B83890" w:rsidP="004B1BAA">
      <w:pPr>
        <w:pStyle w:val="Heading4"/>
        <w:ind w:firstLine="357"/>
      </w:pPr>
      <w:r>
        <w:t>(h)</w:t>
      </w:r>
      <w:r>
        <w:tab/>
      </w:r>
      <w:r w:rsidRPr="00881CAB">
        <w:t xml:space="preserve">EMPLOYEE BENEFITS </w:t>
      </w:r>
    </w:p>
    <w:p w:rsidR="00B83890" w:rsidRDefault="00B83890" w:rsidP="00B83890">
      <w:pPr>
        <w:pStyle w:val="NormalIndent"/>
        <w:spacing w:before="60"/>
        <w:ind w:left="357" w:hanging="357"/>
        <w:jc w:val="both"/>
        <w:rPr>
          <w:sz w:val="20"/>
        </w:rPr>
      </w:pPr>
      <w:r w:rsidRPr="00881CAB">
        <w:rPr>
          <w:sz w:val="20"/>
        </w:rPr>
        <w:tab/>
        <w:t xml:space="preserve">Provision is made </w:t>
      </w:r>
      <w:r>
        <w:rPr>
          <w:sz w:val="20"/>
        </w:rPr>
        <w:t xml:space="preserve">for benefits accruing to employees in </w:t>
      </w:r>
      <w:r w:rsidRPr="00881CAB">
        <w:rPr>
          <w:sz w:val="20"/>
        </w:rPr>
        <w:t>respect of wages</w:t>
      </w:r>
      <w:r>
        <w:rPr>
          <w:sz w:val="20"/>
        </w:rPr>
        <w:t xml:space="preserve"> and salaries, </w:t>
      </w:r>
      <w:r w:rsidRPr="00881CAB">
        <w:rPr>
          <w:sz w:val="20"/>
        </w:rPr>
        <w:t xml:space="preserve">annual leave and long service leave </w:t>
      </w:r>
      <w:r>
        <w:rPr>
          <w:sz w:val="20"/>
        </w:rPr>
        <w:t>for services rendered to the reporting date</w:t>
      </w:r>
      <w:r w:rsidRPr="00881CAB">
        <w:rPr>
          <w:sz w:val="20"/>
        </w:rPr>
        <w:t>.</w:t>
      </w:r>
    </w:p>
    <w:p w:rsidR="00B83890" w:rsidRPr="00881CAB" w:rsidRDefault="00B83890" w:rsidP="00B83890">
      <w:pPr>
        <w:pStyle w:val="NormalIndent"/>
        <w:tabs>
          <w:tab w:val="clear" w:pos="360"/>
          <w:tab w:val="left" w:pos="284"/>
        </w:tabs>
        <w:spacing w:before="120"/>
        <w:ind w:left="284" w:firstLine="0"/>
        <w:jc w:val="both"/>
        <w:rPr>
          <w:i/>
          <w:sz w:val="20"/>
        </w:rPr>
      </w:pPr>
      <w:r w:rsidRPr="00881CAB">
        <w:rPr>
          <w:i/>
          <w:sz w:val="20"/>
        </w:rPr>
        <w:t xml:space="preserve"> (i)</w:t>
      </w:r>
      <w:r w:rsidRPr="00881CAB">
        <w:rPr>
          <w:i/>
          <w:sz w:val="20"/>
        </w:rPr>
        <w:tab/>
        <w:t>Wages, Salaries &amp; Annual Leave</w:t>
      </w:r>
    </w:p>
    <w:p w:rsidR="00B83890" w:rsidRDefault="00B83890" w:rsidP="00B83890">
      <w:pPr>
        <w:pStyle w:val="NormalIndent"/>
        <w:tabs>
          <w:tab w:val="clear" w:pos="360"/>
          <w:tab w:val="left" w:pos="284"/>
        </w:tabs>
        <w:spacing w:before="60"/>
        <w:ind w:left="720" w:firstLine="0"/>
        <w:jc w:val="both"/>
        <w:rPr>
          <w:sz w:val="20"/>
        </w:rPr>
      </w:pPr>
      <w:r w:rsidRPr="00881CAB">
        <w:rPr>
          <w:sz w:val="20"/>
        </w:rPr>
        <w:t>Liabilities for wages and salaries and annual leave expected to be settled within 12 months of the reporting date are recognised in respect of employees’ services up to the reporting date and are measured as the amounts expected to be paid when the liabilities are settled.</w:t>
      </w:r>
    </w:p>
    <w:p w:rsidR="00B83890" w:rsidRPr="00881CAB" w:rsidRDefault="00B83890" w:rsidP="00B83890">
      <w:pPr>
        <w:pStyle w:val="NormalIndent"/>
        <w:tabs>
          <w:tab w:val="clear" w:pos="360"/>
          <w:tab w:val="left" w:pos="284"/>
        </w:tabs>
        <w:spacing w:before="120"/>
        <w:ind w:left="284" w:firstLine="0"/>
        <w:jc w:val="both"/>
        <w:rPr>
          <w:i/>
          <w:sz w:val="20"/>
        </w:rPr>
      </w:pPr>
      <w:r>
        <w:rPr>
          <w:i/>
          <w:sz w:val="20"/>
        </w:rPr>
        <w:t>(ii)</w:t>
      </w:r>
      <w:r w:rsidRPr="00881CAB">
        <w:rPr>
          <w:i/>
          <w:sz w:val="20"/>
        </w:rPr>
        <w:tab/>
        <w:t>Long Service Leave</w:t>
      </w:r>
    </w:p>
    <w:p w:rsidR="00B83890" w:rsidRPr="00881CAB" w:rsidRDefault="00B83890" w:rsidP="00B83890">
      <w:pPr>
        <w:pStyle w:val="NormalIndent"/>
        <w:tabs>
          <w:tab w:val="clear" w:pos="360"/>
          <w:tab w:val="left" w:pos="284"/>
          <w:tab w:val="left" w:pos="426"/>
        </w:tabs>
        <w:spacing w:before="60"/>
        <w:ind w:left="720" w:firstLine="0"/>
        <w:jc w:val="both"/>
        <w:rPr>
          <w:sz w:val="20"/>
        </w:rPr>
      </w:pPr>
      <w:r w:rsidRPr="00881CAB">
        <w:rPr>
          <w:sz w:val="20"/>
        </w:rPr>
        <w:t>Liability for long service leave (LSL) is recognised in the provision for employee benefits</w:t>
      </w:r>
      <w:r>
        <w:rPr>
          <w:sz w:val="20"/>
        </w:rPr>
        <w:t>.</w:t>
      </w:r>
    </w:p>
    <w:p w:rsidR="00B83890" w:rsidRPr="00881CAB" w:rsidRDefault="00B83890" w:rsidP="00B83890">
      <w:pPr>
        <w:pStyle w:val="NormalIndent"/>
        <w:tabs>
          <w:tab w:val="clear" w:pos="360"/>
          <w:tab w:val="left" w:pos="284"/>
          <w:tab w:val="left" w:pos="426"/>
        </w:tabs>
        <w:spacing w:before="120"/>
        <w:ind w:left="720" w:firstLine="0"/>
        <w:jc w:val="both"/>
        <w:rPr>
          <w:i/>
          <w:sz w:val="20"/>
        </w:rPr>
      </w:pPr>
      <w:r w:rsidRPr="00881CAB">
        <w:rPr>
          <w:i/>
          <w:sz w:val="20"/>
        </w:rPr>
        <w:t xml:space="preserve">Current liability –unconditional LSL </w:t>
      </w:r>
      <w:r w:rsidRPr="00881CAB">
        <w:rPr>
          <w:sz w:val="20"/>
        </w:rPr>
        <w:t xml:space="preserve">(representing 7 or more years of continuous service for staff and executives) is disclosed as a current liability even where the Museum does not expect to settle the liability within 12 months because it will </w:t>
      </w:r>
      <w:r>
        <w:rPr>
          <w:sz w:val="20"/>
        </w:rPr>
        <w:t xml:space="preserve">not </w:t>
      </w:r>
      <w:r w:rsidRPr="00881CAB">
        <w:rPr>
          <w:sz w:val="20"/>
        </w:rPr>
        <w:t>have an unconditional right to defer the settlement of the entitlement should the employee take leave within 12 months.</w:t>
      </w:r>
    </w:p>
    <w:p w:rsidR="00B83890" w:rsidRPr="00881CAB" w:rsidRDefault="00B83890" w:rsidP="00B83890">
      <w:pPr>
        <w:pStyle w:val="NormalIndent"/>
        <w:tabs>
          <w:tab w:val="clear" w:pos="360"/>
          <w:tab w:val="left" w:pos="284"/>
          <w:tab w:val="left" w:pos="426"/>
        </w:tabs>
        <w:spacing w:before="120"/>
        <w:ind w:left="720" w:firstLine="0"/>
        <w:jc w:val="both"/>
        <w:rPr>
          <w:sz w:val="20"/>
        </w:rPr>
      </w:pPr>
      <w:r w:rsidRPr="00881CAB">
        <w:rPr>
          <w:i/>
          <w:sz w:val="20"/>
        </w:rPr>
        <w:t>Non-</w:t>
      </w:r>
      <w:r>
        <w:rPr>
          <w:i/>
          <w:sz w:val="20"/>
        </w:rPr>
        <w:t>c</w:t>
      </w:r>
      <w:r w:rsidRPr="00881CAB">
        <w:rPr>
          <w:i/>
          <w:sz w:val="20"/>
        </w:rPr>
        <w:t xml:space="preserve">urrent liability –conditional LSL </w:t>
      </w:r>
      <w:r w:rsidRPr="00881CAB">
        <w:rPr>
          <w:sz w:val="20"/>
        </w:rPr>
        <w:t>(representing less than 7 years of continuous service for staff and executives) is disclosed as a non-current liability. There is an unconditional right to defer the settlement of the entitlement until the employee has completed the requisite years of service.</w:t>
      </w:r>
    </w:p>
    <w:p w:rsidR="00B83890" w:rsidRDefault="00B83890" w:rsidP="00B83890">
      <w:pPr>
        <w:pStyle w:val="NormalIndent"/>
        <w:tabs>
          <w:tab w:val="clear" w:pos="360"/>
          <w:tab w:val="left" w:pos="284"/>
          <w:tab w:val="left" w:pos="426"/>
        </w:tabs>
        <w:spacing w:before="120"/>
        <w:ind w:left="720" w:firstLine="0"/>
        <w:jc w:val="both"/>
        <w:rPr>
          <w:sz w:val="20"/>
        </w:rPr>
      </w:pPr>
      <w:r w:rsidRPr="00881CAB">
        <w:rPr>
          <w:sz w:val="20"/>
        </w:rPr>
        <w:t>Consideration is given to expected future wage and salary levels, experience of employee departures and periods of service.  Expected future payments are discounted using interest rates on national Government guaranteed securities with terms to maturity that match, as closely as possible, the estimated future cash outflows.</w:t>
      </w:r>
    </w:p>
    <w:p w:rsidR="00B83890" w:rsidRDefault="00B83890" w:rsidP="004B1BAA">
      <w:pPr>
        <w:keepNext w:val="0"/>
        <w:outlineLvl w:val="9"/>
      </w:pPr>
      <w:r>
        <w:rPr>
          <w:sz w:val="20"/>
        </w:rPr>
        <w:br w:type="page"/>
      </w:r>
      <w:r>
        <w:lastRenderedPageBreak/>
        <w:t xml:space="preserve">SUMMARY OF </w:t>
      </w:r>
      <w:r w:rsidRPr="00D605F7">
        <w:t>SIGNIFICANT ACCOUNTING POLICIES (CONT’D)</w:t>
      </w:r>
    </w:p>
    <w:p w:rsidR="00B83890" w:rsidRPr="00881CAB" w:rsidRDefault="001442F3" w:rsidP="00B83890">
      <w:pPr>
        <w:pStyle w:val="NormalIndent"/>
        <w:tabs>
          <w:tab w:val="clear" w:pos="720"/>
          <w:tab w:val="left" w:pos="426"/>
        </w:tabs>
        <w:spacing w:before="120"/>
        <w:ind w:left="720" w:hanging="720"/>
        <w:jc w:val="both"/>
        <w:rPr>
          <w:b/>
        </w:rPr>
      </w:pPr>
      <w:r>
        <w:rPr>
          <w:b/>
        </w:rPr>
        <w:tab/>
      </w:r>
      <w:r w:rsidR="00B83890">
        <w:rPr>
          <w:b/>
        </w:rPr>
        <w:t>(h)</w:t>
      </w:r>
      <w:r w:rsidR="00B83890">
        <w:rPr>
          <w:b/>
        </w:rPr>
        <w:tab/>
      </w:r>
      <w:r w:rsidR="00B83890" w:rsidRPr="00881CAB">
        <w:rPr>
          <w:b/>
        </w:rPr>
        <w:t xml:space="preserve">EMPLOYEE BENEFITS </w:t>
      </w:r>
      <w:r w:rsidR="00B83890" w:rsidRPr="00706E61">
        <w:rPr>
          <w:b/>
        </w:rPr>
        <w:t>(cont</w:t>
      </w:r>
      <w:r w:rsidR="00B83890">
        <w:rPr>
          <w:b/>
        </w:rPr>
        <w:t>’</w:t>
      </w:r>
      <w:r w:rsidR="00B83890" w:rsidRPr="00706E61">
        <w:rPr>
          <w:b/>
        </w:rPr>
        <w:t>d)</w:t>
      </w:r>
    </w:p>
    <w:p w:rsidR="00B83890" w:rsidRPr="00881CAB" w:rsidRDefault="00B83890" w:rsidP="00B83890">
      <w:pPr>
        <w:pStyle w:val="NormalIndent"/>
        <w:tabs>
          <w:tab w:val="clear" w:pos="360"/>
          <w:tab w:val="left" w:pos="284"/>
          <w:tab w:val="left" w:pos="426"/>
        </w:tabs>
        <w:spacing w:before="120"/>
        <w:ind w:left="284" w:firstLine="0"/>
        <w:jc w:val="both"/>
        <w:rPr>
          <w:i/>
          <w:sz w:val="20"/>
        </w:rPr>
      </w:pPr>
      <w:r w:rsidRPr="00881CAB">
        <w:rPr>
          <w:sz w:val="20"/>
        </w:rPr>
        <w:t>(iii)</w:t>
      </w:r>
      <w:r>
        <w:rPr>
          <w:sz w:val="20"/>
        </w:rPr>
        <w:tab/>
      </w:r>
      <w:r w:rsidRPr="00881CAB">
        <w:rPr>
          <w:i/>
          <w:sz w:val="20"/>
        </w:rPr>
        <w:t>Employee Benefit On-costs</w:t>
      </w:r>
    </w:p>
    <w:p w:rsidR="00B83890" w:rsidRDefault="00B83890" w:rsidP="00B83890">
      <w:pPr>
        <w:pStyle w:val="NormalIndent"/>
        <w:tabs>
          <w:tab w:val="clear" w:pos="360"/>
          <w:tab w:val="left" w:pos="284"/>
          <w:tab w:val="left" w:pos="426"/>
        </w:tabs>
        <w:spacing w:before="60"/>
        <w:ind w:left="714" w:hanging="357"/>
        <w:jc w:val="both"/>
        <w:rPr>
          <w:sz w:val="20"/>
        </w:rPr>
      </w:pPr>
      <w:r w:rsidRPr="00881CAB">
        <w:tab/>
      </w:r>
      <w:r w:rsidRPr="00881CAB">
        <w:tab/>
      </w:r>
      <w:r w:rsidRPr="00881CAB">
        <w:rPr>
          <w:sz w:val="20"/>
        </w:rPr>
        <w:t xml:space="preserve">Employee benefit on-costs, including </w:t>
      </w:r>
      <w:r>
        <w:rPr>
          <w:sz w:val="20"/>
        </w:rPr>
        <w:t xml:space="preserve">superannuation, workers compensation and </w:t>
      </w:r>
      <w:r w:rsidRPr="00881CAB">
        <w:rPr>
          <w:sz w:val="20"/>
        </w:rPr>
        <w:t>payroll tax are recognised and included in employee benefit liabilities and costs when the employee benefits to which they relate are recognised as liabilities.</w:t>
      </w:r>
    </w:p>
    <w:p w:rsidR="009C0D27" w:rsidRDefault="00B83890" w:rsidP="009C0D27">
      <w:pPr>
        <w:pStyle w:val="NormalIndent"/>
        <w:tabs>
          <w:tab w:val="clear" w:pos="360"/>
          <w:tab w:val="left" w:pos="284"/>
          <w:tab w:val="left" w:pos="426"/>
        </w:tabs>
        <w:spacing w:before="120"/>
        <w:jc w:val="both"/>
        <w:rPr>
          <w:i/>
          <w:sz w:val="20"/>
        </w:rPr>
      </w:pPr>
      <w:r>
        <w:rPr>
          <w:sz w:val="20"/>
        </w:rPr>
        <w:t xml:space="preserve">     (iv)</w:t>
      </w:r>
      <w:r>
        <w:rPr>
          <w:sz w:val="20"/>
        </w:rPr>
        <w:tab/>
      </w:r>
      <w:r w:rsidRPr="00A71807">
        <w:rPr>
          <w:i/>
          <w:sz w:val="20"/>
        </w:rPr>
        <w:t>Superannuation</w:t>
      </w:r>
    </w:p>
    <w:p w:rsidR="00B83890" w:rsidRDefault="009C0D27" w:rsidP="009C0D27">
      <w:pPr>
        <w:pStyle w:val="NormalIndent"/>
        <w:tabs>
          <w:tab w:val="clear" w:pos="360"/>
          <w:tab w:val="left" w:pos="284"/>
          <w:tab w:val="left" w:pos="426"/>
        </w:tabs>
        <w:spacing w:before="120"/>
        <w:ind w:left="720"/>
        <w:jc w:val="both"/>
        <w:rPr>
          <w:sz w:val="20"/>
        </w:rPr>
      </w:pPr>
      <w:r>
        <w:rPr>
          <w:sz w:val="20"/>
        </w:rPr>
        <w:tab/>
      </w:r>
      <w:r>
        <w:rPr>
          <w:sz w:val="20"/>
        </w:rPr>
        <w:tab/>
        <w:t>T</w:t>
      </w:r>
      <w:r w:rsidR="00B83890" w:rsidRPr="00A71807">
        <w:rPr>
          <w:sz w:val="20"/>
        </w:rPr>
        <w:t xml:space="preserve">he amount </w:t>
      </w:r>
      <w:r w:rsidR="00B83890">
        <w:rPr>
          <w:sz w:val="20"/>
        </w:rPr>
        <w:t>recognised in</w:t>
      </w:r>
      <w:r w:rsidR="00B83890" w:rsidRPr="00A71807">
        <w:rPr>
          <w:sz w:val="20"/>
        </w:rPr>
        <w:t xml:space="preserve"> the </w:t>
      </w:r>
      <w:r w:rsidR="00B83890">
        <w:rPr>
          <w:sz w:val="20"/>
        </w:rPr>
        <w:t>Comprehensive Operating S</w:t>
      </w:r>
      <w:r w:rsidR="00B83890" w:rsidRPr="00A71807">
        <w:rPr>
          <w:sz w:val="20"/>
        </w:rPr>
        <w:t xml:space="preserve">tatement in </w:t>
      </w:r>
      <w:r w:rsidR="00B83890">
        <w:rPr>
          <w:sz w:val="20"/>
        </w:rPr>
        <w:t>relation to employer contributions for members</w:t>
      </w:r>
      <w:r w:rsidR="00B83890" w:rsidRPr="00A71807">
        <w:rPr>
          <w:sz w:val="20"/>
        </w:rPr>
        <w:t xml:space="preserve"> of defined benefit superannuation plans represents the </w:t>
      </w:r>
      <w:r w:rsidR="00B83890">
        <w:rPr>
          <w:sz w:val="20"/>
        </w:rPr>
        <w:t xml:space="preserve">employer </w:t>
      </w:r>
      <w:r w:rsidR="00B83890" w:rsidRPr="00A71807">
        <w:rPr>
          <w:sz w:val="20"/>
        </w:rPr>
        <w:t xml:space="preserve">contributions </w:t>
      </w:r>
      <w:r w:rsidR="00B83890">
        <w:rPr>
          <w:sz w:val="20"/>
        </w:rPr>
        <w:t xml:space="preserve">that are paid or payable to these plans during the operating period.  The level of these contributions will vary depending upon the relevant rules of each plan.  </w:t>
      </w:r>
      <w:r w:rsidR="00B83890" w:rsidRPr="00A71807">
        <w:rPr>
          <w:sz w:val="20"/>
        </w:rPr>
        <w:t xml:space="preserve">The Department of Treasury and Finance centrally recognises the defined </w:t>
      </w:r>
      <w:r w:rsidR="00B83890">
        <w:rPr>
          <w:sz w:val="20"/>
        </w:rPr>
        <w:t>benefit liability.</w:t>
      </w:r>
    </w:p>
    <w:p w:rsidR="004B1BAA" w:rsidRPr="00A71807" w:rsidRDefault="004B1BAA" w:rsidP="009C0D27">
      <w:pPr>
        <w:pStyle w:val="NormalIndent"/>
        <w:tabs>
          <w:tab w:val="clear" w:pos="360"/>
          <w:tab w:val="left" w:pos="284"/>
          <w:tab w:val="left" w:pos="426"/>
        </w:tabs>
        <w:spacing w:before="120"/>
        <w:ind w:left="720"/>
        <w:jc w:val="both"/>
        <w:rPr>
          <w:sz w:val="20"/>
        </w:rPr>
      </w:pPr>
    </w:p>
    <w:p w:rsidR="00B83890" w:rsidRDefault="00B83890" w:rsidP="004B1BAA">
      <w:pPr>
        <w:pStyle w:val="Heading4"/>
        <w:ind w:firstLine="357"/>
        <w:rPr>
          <w:i/>
          <w:sz w:val="20"/>
        </w:rPr>
      </w:pPr>
      <w:r>
        <w:rPr>
          <w:sz w:val="20"/>
        </w:rPr>
        <w:t>(i</w:t>
      </w:r>
      <w:r w:rsidRPr="00B11CE7">
        <w:t>)</w:t>
      </w:r>
      <w:r w:rsidRPr="00B11CE7">
        <w:tab/>
        <w:t>ROUNDING</w:t>
      </w:r>
      <w:r>
        <w:t xml:space="preserve"> </w:t>
      </w:r>
    </w:p>
    <w:p w:rsidR="00B83890" w:rsidRDefault="00B83890" w:rsidP="00B83890">
      <w:pPr>
        <w:pStyle w:val="NormalIndent"/>
        <w:spacing w:before="60"/>
        <w:ind w:left="357" w:hanging="357"/>
        <w:jc w:val="both"/>
        <w:rPr>
          <w:sz w:val="20"/>
        </w:rPr>
      </w:pPr>
      <w:r>
        <w:tab/>
      </w:r>
      <w:r>
        <w:rPr>
          <w:sz w:val="20"/>
        </w:rPr>
        <w:t xml:space="preserve">Amounts </w:t>
      </w:r>
      <w:r w:rsidRPr="002E4AC2">
        <w:rPr>
          <w:sz w:val="20"/>
        </w:rPr>
        <w:t xml:space="preserve">in the financial statements and notes thereto have been rounded to the nearest </w:t>
      </w:r>
      <w:r>
        <w:rPr>
          <w:sz w:val="20"/>
        </w:rPr>
        <w:t>thousand dollars</w:t>
      </w:r>
      <w:r>
        <w:t xml:space="preserve">, </w:t>
      </w:r>
      <w:r w:rsidRPr="00C0688F">
        <w:rPr>
          <w:sz w:val="20"/>
        </w:rPr>
        <w:t>unless otherwise stated.</w:t>
      </w:r>
    </w:p>
    <w:p w:rsidR="004B1BAA" w:rsidRDefault="004B1BAA" w:rsidP="00B83890">
      <w:pPr>
        <w:pStyle w:val="NormalIndent"/>
        <w:spacing w:before="60"/>
        <w:ind w:left="357" w:hanging="357"/>
        <w:jc w:val="both"/>
      </w:pPr>
    </w:p>
    <w:p w:rsidR="00B83890" w:rsidRPr="001442F3" w:rsidRDefault="00B83890" w:rsidP="004B1BAA">
      <w:pPr>
        <w:pStyle w:val="Heading4"/>
        <w:ind w:firstLine="357"/>
      </w:pPr>
      <w:r w:rsidRPr="001442F3">
        <w:t>(j)</w:t>
      </w:r>
      <w:r w:rsidRPr="001442F3">
        <w:tab/>
        <w:t>CONTRIBUTIONS BY OWNERS</w:t>
      </w:r>
    </w:p>
    <w:p w:rsidR="00B83890" w:rsidRPr="006C769D" w:rsidRDefault="00B83890" w:rsidP="00B83890">
      <w:pPr>
        <w:pStyle w:val="NormalIndent"/>
        <w:spacing w:before="60"/>
        <w:ind w:left="357" w:hanging="357"/>
        <w:jc w:val="both"/>
        <w:rPr>
          <w:sz w:val="20"/>
        </w:rPr>
      </w:pPr>
      <w:r>
        <w:tab/>
      </w:r>
      <w:r>
        <w:rPr>
          <w:sz w:val="20"/>
        </w:rPr>
        <w:tab/>
      </w:r>
      <w:r w:rsidRPr="006C769D">
        <w:rPr>
          <w:sz w:val="20"/>
        </w:rPr>
        <w:t xml:space="preserve">Additions to net assets which have been designated as contributions by owners are recognised as contributed capital. Other transfers that are in the nature of contributions or distributions have also been designated as contributions by owners. </w:t>
      </w:r>
    </w:p>
    <w:p w:rsidR="00B83890" w:rsidRDefault="00B83890" w:rsidP="00B83890">
      <w:pPr>
        <w:pStyle w:val="NormalIndent"/>
        <w:spacing w:before="60"/>
        <w:ind w:left="357" w:hanging="357"/>
        <w:jc w:val="both"/>
        <w:rPr>
          <w:sz w:val="20"/>
        </w:rPr>
      </w:pPr>
      <w:r>
        <w:rPr>
          <w:sz w:val="20"/>
        </w:rPr>
        <w:tab/>
      </w:r>
      <w:r w:rsidRPr="006C769D">
        <w:rPr>
          <w:sz w:val="20"/>
        </w:rPr>
        <w:t>Transfers of net assets arising from administrative restructurings are treated as distributions to or contributions by owners. Transfers of net liabilities arising from administrative restructurings are treated as distributions to owners</w:t>
      </w:r>
    </w:p>
    <w:p w:rsidR="004B1BAA" w:rsidRPr="00F81E96" w:rsidRDefault="004B1BAA" w:rsidP="00B83890">
      <w:pPr>
        <w:pStyle w:val="NormalIndent"/>
        <w:spacing w:before="60"/>
        <w:ind w:left="357" w:hanging="357"/>
        <w:jc w:val="both"/>
        <w:rPr>
          <w:sz w:val="20"/>
        </w:rPr>
      </w:pPr>
    </w:p>
    <w:p w:rsidR="00B83890" w:rsidRPr="00B11CE7" w:rsidRDefault="00B83890" w:rsidP="004B1BAA">
      <w:pPr>
        <w:pStyle w:val="Heading4"/>
        <w:ind w:firstLine="357"/>
        <w:rPr>
          <w:i/>
        </w:rPr>
      </w:pPr>
      <w:r w:rsidRPr="00B11CE7">
        <w:t>(k)</w:t>
      </w:r>
      <w:r w:rsidRPr="00B11CE7">
        <w:tab/>
        <w:t>CAPITAL ASSET CHARGE</w:t>
      </w:r>
    </w:p>
    <w:p w:rsidR="00B83890" w:rsidRPr="00F81E96" w:rsidRDefault="00B83890" w:rsidP="00B83890">
      <w:pPr>
        <w:pStyle w:val="NormalIndent"/>
        <w:tabs>
          <w:tab w:val="left" w:pos="3261"/>
        </w:tabs>
        <w:spacing w:before="60"/>
        <w:ind w:left="357" w:hanging="357"/>
        <w:jc w:val="both"/>
        <w:rPr>
          <w:sz w:val="20"/>
        </w:rPr>
      </w:pPr>
      <w:r>
        <w:tab/>
      </w:r>
      <w:r w:rsidRPr="00F81E96">
        <w:rPr>
          <w:sz w:val="20"/>
        </w:rPr>
        <w:t xml:space="preserve">The capital asset charge represents the opportunity cost of capital invested in the non-current physical assets used in the provision of outputs. The charge is calculated on the budgeted carrying amount of </w:t>
      </w:r>
      <w:r>
        <w:rPr>
          <w:sz w:val="20"/>
        </w:rPr>
        <w:t xml:space="preserve">applicable </w:t>
      </w:r>
      <w:r w:rsidRPr="00F81E96">
        <w:rPr>
          <w:sz w:val="20"/>
        </w:rPr>
        <w:t xml:space="preserve">non-current physical assets. </w:t>
      </w:r>
    </w:p>
    <w:p w:rsidR="001442F3" w:rsidRDefault="001442F3" w:rsidP="001442F3">
      <w:pPr>
        <w:ind w:left="357"/>
      </w:pPr>
    </w:p>
    <w:p w:rsidR="001442F3" w:rsidRDefault="00B83890" w:rsidP="001442F3">
      <w:pPr>
        <w:ind w:left="357"/>
      </w:pPr>
      <w:r w:rsidRPr="00AC6D7D">
        <w:t>In accordance with Government policy, this charge has been recognised as revenue within the Government grant and disclosed separately as an expense within the financial statements.</w:t>
      </w:r>
    </w:p>
    <w:p w:rsidR="004B1BAA" w:rsidRDefault="004B1BAA" w:rsidP="001442F3">
      <w:pPr>
        <w:ind w:left="357"/>
        <w:rPr>
          <w:b/>
        </w:rPr>
      </w:pPr>
    </w:p>
    <w:p w:rsidR="00B83890" w:rsidRPr="001442F3" w:rsidRDefault="001442F3" w:rsidP="004B1BAA">
      <w:pPr>
        <w:pStyle w:val="Heading4"/>
        <w:ind w:firstLine="357"/>
        <w:rPr>
          <w:i/>
          <w:sz w:val="20"/>
        </w:rPr>
      </w:pPr>
      <w:r>
        <w:rPr>
          <w:sz w:val="20"/>
        </w:rPr>
        <w:t xml:space="preserve">(l) </w:t>
      </w:r>
      <w:r w:rsidR="00B83890" w:rsidRPr="00B11CE7">
        <w:t>CASH AND DEPOSITS</w:t>
      </w:r>
    </w:p>
    <w:p w:rsidR="00B83890" w:rsidRDefault="00B83890" w:rsidP="00B83890">
      <w:pPr>
        <w:pStyle w:val="NormalIndent"/>
        <w:spacing w:before="60"/>
        <w:ind w:left="357" w:hanging="357"/>
        <w:jc w:val="both"/>
        <w:rPr>
          <w:sz w:val="20"/>
        </w:rPr>
      </w:pPr>
      <w:r w:rsidRPr="008F09DA">
        <w:rPr>
          <w:b/>
          <w:sz w:val="20"/>
        </w:rPr>
        <w:tab/>
      </w:r>
      <w:r w:rsidRPr="008F09DA">
        <w:rPr>
          <w:sz w:val="20"/>
        </w:rPr>
        <w:t>Cash and deposits, including cash equivalents, comprise cash on hand and cash at bank, deposits at call with an original maturity of three months or less, which are held for the purpose of meeting short</w:t>
      </w:r>
      <w:r>
        <w:rPr>
          <w:sz w:val="20"/>
        </w:rPr>
        <w:t>-</w:t>
      </w:r>
      <w:r w:rsidRPr="008F09DA">
        <w:rPr>
          <w:sz w:val="20"/>
        </w:rPr>
        <w:t xml:space="preserve">term cash commitments rather than for investment purposes, and which are readily convertible to known amounts of cash and are subject to insignificant risk of changes </w:t>
      </w:r>
      <w:r>
        <w:rPr>
          <w:sz w:val="20"/>
        </w:rPr>
        <w:t>in</w:t>
      </w:r>
      <w:r w:rsidRPr="008F09DA">
        <w:rPr>
          <w:sz w:val="20"/>
        </w:rPr>
        <w:t xml:space="preserve"> value.</w:t>
      </w:r>
    </w:p>
    <w:p w:rsidR="004B1BAA" w:rsidRPr="00D64D1B" w:rsidRDefault="004B1BAA" w:rsidP="00B83890">
      <w:pPr>
        <w:pStyle w:val="NormalIndent"/>
        <w:spacing w:before="60"/>
        <w:ind w:left="357" w:hanging="357"/>
        <w:jc w:val="both"/>
        <w:rPr>
          <w:sz w:val="20"/>
        </w:rPr>
      </w:pPr>
    </w:p>
    <w:p w:rsidR="00B83890" w:rsidRPr="009C4BC8" w:rsidRDefault="00B83890" w:rsidP="004B1BAA">
      <w:pPr>
        <w:pStyle w:val="Heading4"/>
        <w:ind w:firstLine="357"/>
        <w:rPr>
          <w:sz w:val="20"/>
        </w:rPr>
      </w:pPr>
      <w:r w:rsidRPr="009C4BC8">
        <w:rPr>
          <w:sz w:val="20"/>
        </w:rPr>
        <w:t>(</w:t>
      </w:r>
      <w:r>
        <w:rPr>
          <w:sz w:val="20"/>
        </w:rPr>
        <w:t>m</w:t>
      </w:r>
      <w:r w:rsidRPr="009C4BC8">
        <w:rPr>
          <w:sz w:val="20"/>
        </w:rPr>
        <w:t>)</w:t>
      </w:r>
      <w:r w:rsidRPr="009C4BC8">
        <w:rPr>
          <w:sz w:val="20"/>
        </w:rPr>
        <w:tab/>
      </w:r>
      <w:r w:rsidRPr="009C4BC8">
        <w:t>PAYABLES</w:t>
      </w:r>
    </w:p>
    <w:p w:rsidR="00B83890" w:rsidRDefault="00B83890" w:rsidP="00B83890">
      <w:pPr>
        <w:pStyle w:val="NormalIndent"/>
        <w:tabs>
          <w:tab w:val="clear" w:pos="360"/>
          <w:tab w:val="clear" w:pos="720"/>
          <w:tab w:val="clear" w:pos="1440"/>
        </w:tabs>
        <w:spacing w:before="60"/>
        <w:ind w:left="357" w:firstLine="0"/>
        <w:jc w:val="both"/>
        <w:rPr>
          <w:sz w:val="20"/>
        </w:rPr>
      </w:pPr>
      <w:r>
        <w:rPr>
          <w:sz w:val="20"/>
        </w:rPr>
        <w:t>These amounts represent liabilities for goods and services provided prior to the end of the financial year and which are unpaid. The amounts are unsecured and are usually paid within 30 days following the month of recognition.</w:t>
      </w:r>
    </w:p>
    <w:p w:rsidR="004B1BAA" w:rsidRDefault="004B1BAA" w:rsidP="00B83890">
      <w:pPr>
        <w:pStyle w:val="NormalIndent"/>
        <w:tabs>
          <w:tab w:val="clear" w:pos="360"/>
          <w:tab w:val="clear" w:pos="720"/>
          <w:tab w:val="clear" w:pos="1440"/>
        </w:tabs>
        <w:spacing w:before="60"/>
        <w:ind w:left="357" w:firstLine="0"/>
        <w:jc w:val="both"/>
        <w:rPr>
          <w:sz w:val="20"/>
        </w:rPr>
      </w:pPr>
    </w:p>
    <w:p w:rsidR="00B83890" w:rsidRDefault="00B83890" w:rsidP="004B1BAA">
      <w:pPr>
        <w:pStyle w:val="Heading4"/>
        <w:ind w:firstLine="357"/>
      </w:pPr>
      <w:r>
        <w:rPr>
          <w:sz w:val="20"/>
        </w:rPr>
        <w:t>(n)</w:t>
      </w:r>
      <w:r>
        <w:rPr>
          <w:sz w:val="20"/>
        </w:rPr>
        <w:tab/>
      </w:r>
      <w:r>
        <w:t>LEASES</w:t>
      </w:r>
    </w:p>
    <w:p w:rsidR="00B83890" w:rsidRDefault="00B83890" w:rsidP="00B83890">
      <w:pPr>
        <w:pStyle w:val="NormalIndent"/>
        <w:spacing w:before="60"/>
        <w:ind w:left="357" w:hanging="357"/>
        <w:jc w:val="both"/>
        <w:rPr>
          <w:sz w:val="20"/>
        </w:rPr>
      </w:pPr>
      <w:r>
        <w:rPr>
          <w:sz w:val="20"/>
        </w:rPr>
        <w:tab/>
        <w:t xml:space="preserve">Operating lease payments are charged to the Comprehensive Operating Statement in the periods in which they are incurred, as this represents the pattern of benefits derived from leased assets. </w:t>
      </w:r>
    </w:p>
    <w:p w:rsidR="004B1BAA" w:rsidRDefault="00B83890" w:rsidP="00B83890">
      <w:pPr>
        <w:pStyle w:val="NormalIndent"/>
        <w:spacing w:before="120"/>
        <w:jc w:val="both"/>
        <w:rPr>
          <w:sz w:val="20"/>
        </w:rPr>
      </w:pPr>
      <w:r>
        <w:rPr>
          <w:sz w:val="20"/>
        </w:rPr>
        <w:tab/>
      </w:r>
    </w:p>
    <w:p w:rsidR="004B1BAA" w:rsidRDefault="004B1BAA" w:rsidP="00B83890">
      <w:pPr>
        <w:pStyle w:val="NormalIndent"/>
        <w:spacing w:before="120"/>
        <w:jc w:val="both"/>
        <w:rPr>
          <w:sz w:val="20"/>
        </w:rPr>
      </w:pPr>
      <w:r>
        <w:rPr>
          <w:sz w:val="20"/>
        </w:rPr>
        <w:lastRenderedPageBreak/>
        <w:tab/>
      </w:r>
    </w:p>
    <w:p w:rsidR="004B1BAA" w:rsidRPr="006F2B46" w:rsidRDefault="004B1BAA" w:rsidP="004B1BAA">
      <w:pPr>
        <w:pStyle w:val="Heading2"/>
        <w:spacing w:before="120"/>
        <w:rPr>
          <w:i/>
          <w:sz w:val="22"/>
          <w:szCs w:val="22"/>
        </w:rPr>
      </w:pPr>
      <w:r>
        <w:rPr>
          <w:sz w:val="22"/>
          <w:szCs w:val="22"/>
        </w:rPr>
        <w:t xml:space="preserve">1.   SUMMARY OF </w:t>
      </w:r>
      <w:r w:rsidRPr="006F2B46">
        <w:rPr>
          <w:sz w:val="22"/>
          <w:szCs w:val="22"/>
        </w:rPr>
        <w:t>SIGNIFICANT ACCOUNTING POLICIES (CONT’D)</w:t>
      </w:r>
    </w:p>
    <w:p w:rsidR="004B1BAA" w:rsidRPr="004B1BAA" w:rsidRDefault="004B1BAA" w:rsidP="004B1BAA">
      <w:pPr>
        <w:pStyle w:val="NormalIndent"/>
        <w:tabs>
          <w:tab w:val="clear" w:pos="720"/>
          <w:tab w:val="left" w:pos="426"/>
        </w:tabs>
        <w:spacing w:before="120"/>
        <w:ind w:left="720" w:hanging="720"/>
        <w:jc w:val="both"/>
        <w:rPr>
          <w:b/>
          <w:sz w:val="22"/>
          <w:szCs w:val="22"/>
        </w:rPr>
      </w:pPr>
      <w:r w:rsidRPr="004B1BAA">
        <w:rPr>
          <w:sz w:val="22"/>
          <w:szCs w:val="22"/>
        </w:rPr>
        <w:tab/>
      </w:r>
      <w:r w:rsidRPr="004B1BAA">
        <w:rPr>
          <w:b/>
          <w:sz w:val="22"/>
          <w:szCs w:val="22"/>
        </w:rPr>
        <w:tab/>
        <w:t>(n)</w:t>
      </w:r>
      <w:r w:rsidRPr="004B1BAA">
        <w:rPr>
          <w:b/>
          <w:sz w:val="22"/>
          <w:szCs w:val="22"/>
        </w:rPr>
        <w:tab/>
        <w:t>EMPLOYEE BENEFITS (cont’d)</w:t>
      </w:r>
    </w:p>
    <w:p w:rsidR="00B83890" w:rsidRDefault="004B1BAA" w:rsidP="00B83890">
      <w:pPr>
        <w:pStyle w:val="NormalIndent"/>
        <w:spacing w:before="120"/>
        <w:jc w:val="both"/>
        <w:rPr>
          <w:sz w:val="20"/>
        </w:rPr>
      </w:pPr>
      <w:r>
        <w:rPr>
          <w:sz w:val="20"/>
        </w:rPr>
        <w:tab/>
      </w:r>
      <w:r w:rsidR="00B83890">
        <w:rPr>
          <w:sz w:val="20"/>
        </w:rPr>
        <w:t>Finance leases are capitalised. A leased asset and liability are established at the present value of minimum lease payments. Lease payments are allocated between the principal component of the lease liability and the interest expense. The finance lease facility was ratified by Cabinet as part of the Vic Fleet facility and is restricted to vehicle acquisitions.</w:t>
      </w:r>
    </w:p>
    <w:p w:rsidR="004B1BAA" w:rsidRDefault="004B1BAA" w:rsidP="004B1BAA">
      <w:pPr>
        <w:pStyle w:val="Heading4"/>
        <w:ind w:firstLine="357"/>
        <w:rPr>
          <w:sz w:val="20"/>
        </w:rPr>
      </w:pPr>
      <w:r w:rsidRPr="00CE19EE">
        <w:rPr>
          <w:sz w:val="20"/>
        </w:rPr>
        <w:t xml:space="preserve"> </w:t>
      </w:r>
    </w:p>
    <w:p w:rsidR="00B83890" w:rsidRDefault="00B83890" w:rsidP="004B1BAA">
      <w:pPr>
        <w:pStyle w:val="Heading4"/>
        <w:ind w:firstLine="357"/>
        <w:rPr>
          <w:sz w:val="20"/>
        </w:rPr>
      </w:pPr>
      <w:r w:rsidRPr="00CE19EE">
        <w:rPr>
          <w:sz w:val="20"/>
        </w:rPr>
        <w:t>(o)</w:t>
      </w:r>
      <w:r w:rsidRPr="00CE19EE">
        <w:rPr>
          <w:sz w:val="20"/>
        </w:rPr>
        <w:tab/>
      </w:r>
      <w:r>
        <w:t>EVENTS AFTER THE REPORTING PERIOD</w:t>
      </w:r>
    </w:p>
    <w:p w:rsidR="00B83890" w:rsidRDefault="00B83890" w:rsidP="00B83890">
      <w:pPr>
        <w:pStyle w:val="NormalIndent"/>
        <w:spacing w:before="60"/>
        <w:ind w:left="357" w:hanging="357"/>
        <w:jc w:val="both"/>
      </w:pPr>
      <w:r>
        <w:tab/>
      </w:r>
      <w:r>
        <w:rPr>
          <w:sz w:val="20"/>
        </w:rPr>
        <w:t>Museums Board of Victoria is not aware of any material events after balance date which would affect these financial statements</w:t>
      </w:r>
      <w:r>
        <w:t>.</w:t>
      </w:r>
    </w:p>
    <w:p w:rsidR="004B1BAA" w:rsidRDefault="004B1BAA" w:rsidP="00B83890">
      <w:pPr>
        <w:pStyle w:val="NormalIndent"/>
        <w:spacing w:before="60"/>
        <w:ind w:left="357" w:hanging="357"/>
        <w:jc w:val="both"/>
      </w:pPr>
    </w:p>
    <w:p w:rsidR="00B83890" w:rsidRPr="00D70FA6" w:rsidRDefault="00B83890" w:rsidP="004B1BAA">
      <w:pPr>
        <w:pStyle w:val="Heading4"/>
        <w:ind w:left="357"/>
      </w:pPr>
      <w:r w:rsidRPr="00CE19EE">
        <w:rPr>
          <w:sz w:val="20"/>
        </w:rPr>
        <w:t>(p)</w:t>
      </w:r>
      <w:r>
        <w:tab/>
      </w:r>
      <w:r w:rsidRPr="00652C05">
        <w:t>NEW AND R</w:t>
      </w:r>
      <w:r w:rsidR="004B1BAA">
        <w:t xml:space="preserve">EVISED ACCOUNTING STANDARDS AND </w:t>
      </w:r>
      <w:r w:rsidRPr="00652C05">
        <w:t>INTERPRETATIONS</w:t>
      </w:r>
    </w:p>
    <w:p w:rsidR="00B83890" w:rsidRPr="00604A55" w:rsidRDefault="00B83890" w:rsidP="00B83890">
      <w:pPr>
        <w:pStyle w:val="NormalIndent"/>
        <w:spacing w:before="60"/>
        <w:ind w:left="357" w:hanging="357"/>
        <w:jc w:val="both"/>
        <w:rPr>
          <w:sz w:val="20"/>
        </w:rPr>
      </w:pPr>
      <w:r>
        <w:tab/>
      </w:r>
      <w:r w:rsidRPr="00604A55">
        <w:rPr>
          <w:sz w:val="20"/>
        </w:rPr>
        <w:t>Museums Board of Victoria has adopted all of the new and revised Accounting Standards and Interpretations issued by the Australian Accounting Standards Board  (AASB) that are relevant to its operations and effective for annual reporting from 1</w:t>
      </w:r>
      <w:r>
        <w:rPr>
          <w:sz w:val="20"/>
        </w:rPr>
        <w:t xml:space="preserve"> </w:t>
      </w:r>
      <w:r w:rsidRPr="00604A55">
        <w:rPr>
          <w:sz w:val="20"/>
        </w:rPr>
        <w:t xml:space="preserve">July </w:t>
      </w:r>
      <w:r>
        <w:rPr>
          <w:sz w:val="20"/>
        </w:rPr>
        <w:t xml:space="preserve"> 2013</w:t>
      </w:r>
      <w:r w:rsidRPr="00604A55">
        <w:rPr>
          <w:sz w:val="20"/>
        </w:rPr>
        <w:t xml:space="preserve">. </w:t>
      </w:r>
    </w:p>
    <w:p w:rsidR="00B83890" w:rsidRDefault="00B83890" w:rsidP="00B83890">
      <w:pPr>
        <w:pStyle w:val="NormalIndent"/>
        <w:spacing w:before="120"/>
        <w:jc w:val="both"/>
        <w:rPr>
          <w:sz w:val="20"/>
        </w:rPr>
      </w:pPr>
      <w:r w:rsidRPr="00604A55">
        <w:rPr>
          <w:sz w:val="20"/>
        </w:rPr>
        <w:tab/>
        <w:t>Management has given due consideration to new and revised standards and interpretations issued by the AASB that are not yet effective and</w:t>
      </w:r>
      <w:r>
        <w:rPr>
          <w:sz w:val="20"/>
        </w:rPr>
        <w:t xml:space="preserve"> are not aware of</w:t>
      </w:r>
      <w:r w:rsidRPr="00604A55">
        <w:rPr>
          <w:sz w:val="20"/>
        </w:rPr>
        <w:t xml:space="preserve"> any material financial impact on the financial statements.</w:t>
      </w:r>
    </w:p>
    <w:p w:rsidR="004B1BAA" w:rsidRDefault="004B1BAA" w:rsidP="00B83890">
      <w:pPr>
        <w:pStyle w:val="NormalIndent"/>
        <w:spacing w:before="120"/>
        <w:jc w:val="both"/>
        <w:rPr>
          <w:sz w:val="20"/>
        </w:rPr>
      </w:pPr>
    </w:p>
    <w:p w:rsidR="00B83890" w:rsidRPr="00F81E96" w:rsidRDefault="00B83890" w:rsidP="004B1BAA">
      <w:pPr>
        <w:pStyle w:val="Heading4"/>
        <w:ind w:firstLine="357"/>
      </w:pPr>
      <w:r w:rsidRPr="00CE19EE">
        <w:rPr>
          <w:sz w:val="20"/>
        </w:rPr>
        <w:t>(</w:t>
      </w:r>
      <w:r>
        <w:rPr>
          <w:sz w:val="20"/>
        </w:rPr>
        <w:t>q</w:t>
      </w:r>
      <w:r w:rsidRPr="00CE19EE">
        <w:rPr>
          <w:sz w:val="20"/>
        </w:rPr>
        <w:t>)</w:t>
      </w:r>
      <w:r w:rsidRPr="00F81E96">
        <w:tab/>
        <w:t>FINANCE COSTS</w:t>
      </w:r>
    </w:p>
    <w:p w:rsidR="00B83890" w:rsidRDefault="00B83890" w:rsidP="00B83890">
      <w:pPr>
        <w:pStyle w:val="NormalIndent"/>
        <w:spacing w:before="60"/>
        <w:ind w:left="357" w:hanging="357"/>
        <w:jc w:val="both"/>
        <w:rPr>
          <w:sz w:val="20"/>
        </w:rPr>
      </w:pPr>
      <w:r w:rsidRPr="00F81E96">
        <w:rPr>
          <w:szCs w:val="18"/>
        </w:rPr>
        <w:tab/>
      </w:r>
      <w:r w:rsidRPr="00F81E96">
        <w:rPr>
          <w:sz w:val="20"/>
        </w:rPr>
        <w:t>Finance costs are recognised as expenses in the period in which they are incurred and include finance lease charges.</w:t>
      </w:r>
    </w:p>
    <w:p w:rsidR="004B1BAA" w:rsidRDefault="004B1BAA" w:rsidP="00B83890">
      <w:pPr>
        <w:pStyle w:val="NormalIndent"/>
        <w:spacing w:before="60"/>
        <w:ind w:left="357" w:hanging="357"/>
        <w:jc w:val="both"/>
        <w:rPr>
          <w:sz w:val="20"/>
        </w:rPr>
      </w:pPr>
    </w:p>
    <w:p w:rsidR="00B83890" w:rsidRPr="00F81E96" w:rsidRDefault="00B83890" w:rsidP="004B1BAA">
      <w:pPr>
        <w:pStyle w:val="Heading4"/>
        <w:ind w:firstLine="357"/>
      </w:pPr>
      <w:r w:rsidRPr="00CE19EE">
        <w:rPr>
          <w:sz w:val="20"/>
        </w:rPr>
        <w:t xml:space="preserve"> (</w:t>
      </w:r>
      <w:r>
        <w:rPr>
          <w:sz w:val="20"/>
        </w:rPr>
        <w:t>r</w:t>
      </w:r>
      <w:r w:rsidRPr="00CE19EE">
        <w:rPr>
          <w:sz w:val="20"/>
        </w:rPr>
        <w:t>)</w:t>
      </w:r>
      <w:r w:rsidRPr="00F81E96">
        <w:tab/>
        <w:t>GOODS AND SERVICES TAX (GST)</w:t>
      </w:r>
    </w:p>
    <w:p w:rsidR="00B83890" w:rsidRPr="00F81E96" w:rsidRDefault="00B83890" w:rsidP="00B83890">
      <w:pPr>
        <w:pStyle w:val="NormalIndent"/>
        <w:spacing w:before="60"/>
        <w:ind w:left="357" w:hanging="357"/>
        <w:jc w:val="both"/>
        <w:rPr>
          <w:sz w:val="20"/>
        </w:rPr>
      </w:pPr>
      <w:r w:rsidRPr="00F81E96">
        <w:rPr>
          <w:szCs w:val="18"/>
        </w:rPr>
        <w:tab/>
      </w:r>
      <w:r w:rsidRPr="00F81E96">
        <w:rPr>
          <w:sz w:val="20"/>
        </w:rPr>
        <w:t>Income, expenses and assets are recognised net of the amount of associated GST, unless the GST incurred is not recoverable from the taxation authority. In this case it is recognised as part of the cost of acquisition of the asset or as part of the expense.</w:t>
      </w:r>
    </w:p>
    <w:p w:rsidR="00B83890" w:rsidRPr="00F81E96" w:rsidRDefault="00B83890" w:rsidP="00B83890">
      <w:pPr>
        <w:pStyle w:val="NormalIndent"/>
        <w:spacing w:before="120"/>
        <w:jc w:val="both"/>
        <w:rPr>
          <w:sz w:val="20"/>
        </w:rPr>
      </w:pPr>
      <w:r w:rsidRPr="00F81E96">
        <w:rPr>
          <w:sz w:val="20"/>
        </w:rPr>
        <w:tab/>
        <w:t xml:space="preserve">Receivables and payables are stated inclusive of the amount of GST receivable or payable. The net amount of GST recoverable from, or payable to, the taxation authority is included with other receivables or payables in the </w:t>
      </w:r>
      <w:r>
        <w:rPr>
          <w:sz w:val="20"/>
        </w:rPr>
        <w:t>B</w:t>
      </w:r>
      <w:r w:rsidRPr="00F81E96">
        <w:rPr>
          <w:sz w:val="20"/>
        </w:rPr>
        <w:t xml:space="preserve">alance </w:t>
      </w:r>
      <w:r>
        <w:rPr>
          <w:sz w:val="20"/>
        </w:rPr>
        <w:t>S</w:t>
      </w:r>
      <w:r w:rsidRPr="00F81E96">
        <w:rPr>
          <w:sz w:val="20"/>
        </w:rPr>
        <w:t>heet.</w:t>
      </w:r>
    </w:p>
    <w:p w:rsidR="00B83890" w:rsidRDefault="00B83890" w:rsidP="00B83890">
      <w:pPr>
        <w:pStyle w:val="NormalIndent"/>
        <w:spacing w:before="120"/>
        <w:jc w:val="both"/>
        <w:rPr>
          <w:sz w:val="20"/>
        </w:rPr>
      </w:pPr>
      <w:r w:rsidRPr="00F81E96">
        <w:rPr>
          <w:sz w:val="20"/>
        </w:rPr>
        <w:tab/>
        <w:t>Cash flows are presented on a gross basis. The GST components of cash flows arising from investing or financing activities which are recoverable from, or payable to the taxation authority, are presented as operating cash flow.</w:t>
      </w:r>
    </w:p>
    <w:p w:rsidR="004B1BAA" w:rsidRDefault="004B1BAA" w:rsidP="00B83890">
      <w:pPr>
        <w:pStyle w:val="NormalIndent"/>
        <w:spacing w:before="120"/>
        <w:jc w:val="both"/>
        <w:rPr>
          <w:sz w:val="20"/>
        </w:rPr>
      </w:pPr>
    </w:p>
    <w:p w:rsidR="00B83890" w:rsidRDefault="00B83890" w:rsidP="004B1BAA">
      <w:pPr>
        <w:pStyle w:val="Heading4"/>
        <w:ind w:firstLine="357"/>
      </w:pPr>
      <w:r>
        <w:t>(s)</w:t>
      </w:r>
      <w:r>
        <w:tab/>
      </w:r>
      <w:r w:rsidRPr="00C241E9">
        <w:t>FOREIGN CURRENCY</w:t>
      </w:r>
    </w:p>
    <w:p w:rsidR="00B83890" w:rsidRPr="00662E6D" w:rsidRDefault="00B83890" w:rsidP="00B83890">
      <w:pPr>
        <w:pStyle w:val="NormalIndent"/>
        <w:spacing w:before="120"/>
        <w:ind w:left="357" w:hanging="357"/>
        <w:jc w:val="both"/>
        <w:rPr>
          <w:sz w:val="20"/>
        </w:rPr>
      </w:pPr>
      <w:r>
        <w:rPr>
          <w:b/>
          <w:szCs w:val="18"/>
        </w:rPr>
        <w:tab/>
      </w:r>
      <w:r w:rsidRPr="00662E6D">
        <w:rPr>
          <w:sz w:val="20"/>
        </w:rPr>
        <w:t>All foreign currency transactions during the financial year are brought to account using the exchange rate in effect at the date of the transaction. Exchange differences are recognised in profit or loss in the period in which they arise.</w:t>
      </w:r>
    </w:p>
    <w:p w:rsidR="00B83890" w:rsidRPr="00DF22FF" w:rsidRDefault="00B83890" w:rsidP="00513943">
      <w:pPr>
        <w:pStyle w:val="Heading3"/>
      </w:pPr>
      <w:r w:rsidRPr="00DF22FF">
        <w:lastRenderedPageBreak/>
        <w:t>2.</w:t>
      </w:r>
      <w:r w:rsidRPr="00DF22FF">
        <w:tab/>
        <w:t>VICTORIAN GOVERNMENT GRANTS</w:t>
      </w:r>
    </w:p>
    <w:tbl>
      <w:tblPr>
        <w:tblW w:w="9244" w:type="dxa"/>
        <w:tblLayout w:type="fixed"/>
        <w:tblCellMar>
          <w:left w:w="30" w:type="dxa"/>
          <w:right w:w="30" w:type="dxa"/>
        </w:tblCellMar>
        <w:tblLook w:val="0000" w:firstRow="0" w:lastRow="0" w:firstColumn="0" w:lastColumn="0" w:noHBand="0" w:noVBand="0"/>
        <w:tblCaption w:val="Victorian Government Grants"/>
        <w:tblDescription w:val="This table shows Victorian Government Grants for 2012–13 with comparison to 2011–12."/>
      </w:tblPr>
      <w:tblGrid>
        <w:gridCol w:w="4452"/>
        <w:gridCol w:w="2099"/>
        <w:gridCol w:w="1284"/>
        <w:gridCol w:w="1409"/>
      </w:tblGrid>
      <w:tr w:rsidR="00B83890" w:rsidRPr="00881CAB" w:rsidTr="00D74A18">
        <w:trPr>
          <w:trHeight w:val="160"/>
        </w:trPr>
        <w:tc>
          <w:tcPr>
            <w:tcW w:w="4452" w:type="dxa"/>
            <w:vAlign w:val="center"/>
          </w:tcPr>
          <w:p w:rsidR="00B83890" w:rsidRDefault="00B83890" w:rsidP="006E6DC8">
            <w:pPr>
              <w:rPr>
                <w:b/>
                <w:color w:val="000000"/>
                <w:lang w:val="en-GB"/>
              </w:rPr>
            </w:pPr>
          </w:p>
        </w:tc>
        <w:tc>
          <w:tcPr>
            <w:tcW w:w="2099" w:type="dxa"/>
            <w:vAlign w:val="center"/>
          </w:tcPr>
          <w:p w:rsidR="00B83890" w:rsidRDefault="00B83890" w:rsidP="006E6DC8">
            <w:pPr>
              <w:jc w:val="right"/>
              <w:rPr>
                <w:color w:val="000000"/>
                <w:lang w:val="en-GB"/>
              </w:rPr>
            </w:pPr>
          </w:p>
        </w:tc>
        <w:tc>
          <w:tcPr>
            <w:tcW w:w="1284" w:type="dxa"/>
          </w:tcPr>
          <w:p w:rsidR="00B83890" w:rsidRDefault="00B83890" w:rsidP="006E6DC8">
            <w:pPr>
              <w:jc w:val="right"/>
              <w:rPr>
                <w:b/>
                <w:i/>
                <w:sz w:val="18"/>
                <w:lang w:val="en-GB"/>
              </w:rPr>
            </w:pPr>
            <w:r>
              <w:rPr>
                <w:b/>
                <w:lang w:val="en-GB"/>
              </w:rPr>
              <w:t>2013</w:t>
            </w:r>
          </w:p>
        </w:tc>
        <w:tc>
          <w:tcPr>
            <w:tcW w:w="1409" w:type="dxa"/>
          </w:tcPr>
          <w:p w:rsidR="00B83890" w:rsidRDefault="00B83890" w:rsidP="006E6DC8">
            <w:pPr>
              <w:jc w:val="right"/>
              <w:rPr>
                <w:b/>
                <w:i/>
                <w:sz w:val="18"/>
                <w:lang w:val="en-GB"/>
              </w:rPr>
            </w:pPr>
            <w:r>
              <w:rPr>
                <w:b/>
                <w:lang w:val="en-GB"/>
              </w:rPr>
              <w:t>2012</w:t>
            </w:r>
          </w:p>
        </w:tc>
      </w:tr>
      <w:tr w:rsidR="00B83890" w:rsidRPr="00881CAB" w:rsidTr="00D74A18">
        <w:trPr>
          <w:trHeight w:val="160"/>
        </w:trPr>
        <w:tc>
          <w:tcPr>
            <w:tcW w:w="4452" w:type="dxa"/>
            <w:vAlign w:val="center"/>
          </w:tcPr>
          <w:p w:rsidR="00B83890" w:rsidRDefault="00B83890" w:rsidP="006E6DC8">
            <w:pPr>
              <w:rPr>
                <w:b/>
                <w:color w:val="000000"/>
                <w:lang w:val="en-GB"/>
              </w:rPr>
            </w:pPr>
          </w:p>
        </w:tc>
        <w:tc>
          <w:tcPr>
            <w:tcW w:w="2099" w:type="dxa"/>
            <w:vAlign w:val="center"/>
          </w:tcPr>
          <w:p w:rsidR="00B83890" w:rsidRDefault="00B83890" w:rsidP="006E6DC8">
            <w:pPr>
              <w:jc w:val="right"/>
              <w:rPr>
                <w:color w:val="000000"/>
                <w:lang w:val="en-GB"/>
              </w:rPr>
            </w:pPr>
          </w:p>
        </w:tc>
        <w:tc>
          <w:tcPr>
            <w:tcW w:w="1284" w:type="dxa"/>
          </w:tcPr>
          <w:p w:rsidR="00B83890" w:rsidRDefault="00B83890" w:rsidP="006E6DC8">
            <w:pPr>
              <w:jc w:val="right"/>
              <w:rPr>
                <w:b/>
                <w:lang w:val="en-GB"/>
              </w:rPr>
            </w:pPr>
            <w:r w:rsidRPr="00881CAB">
              <w:rPr>
                <w:b/>
                <w:lang w:val="en-GB"/>
              </w:rPr>
              <w:t>$’000</w:t>
            </w:r>
          </w:p>
        </w:tc>
        <w:tc>
          <w:tcPr>
            <w:tcW w:w="1409" w:type="dxa"/>
          </w:tcPr>
          <w:p w:rsidR="00B83890" w:rsidRDefault="00B83890" w:rsidP="006E6DC8">
            <w:pPr>
              <w:jc w:val="right"/>
              <w:rPr>
                <w:b/>
                <w:lang w:val="en-GB"/>
              </w:rPr>
            </w:pPr>
            <w:r w:rsidRPr="00881CAB">
              <w:rPr>
                <w:b/>
                <w:lang w:val="en-GB"/>
              </w:rPr>
              <w:t>$’000</w:t>
            </w:r>
          </w:p>
        </w:tc>
      </w:tr>
      <w:tr w:rsidR="00B83890" w:rsidRPr="00881CAB" w:rsidTr="00D74A18">
        <w:trPr>
          <w:trHeight w:val="266"/>
        </w:trPr>
        <w:tc>
          <w:tcPr>
            <w:tcW w:w="4452" w:type="dxa"/>
            <w:vAlign w:val="center"/>
          </w:tcPr>
          <w:p w:rsidR="00B83890" w:rsidRPr="00881CAB" w:rsidRDefault="00B83890" w:rsidP="006E6DC8">
            <w:pPr>
              <w:rPr>
                <w:b/>
                <w:i/>
                <w:color w:val="000000"/>
                <w:lang w:val="en-GB"/>
              </w:rPr>
            </w:pPr>
            <w:r>
              <w:rPr>
                <w:lang w:val="en-GB"/>
              </w:rPr>
              <w:tab/>
            </w:r>
            <w:r w:rsidRPr="00881CAB">
              <w:rPr>
                <w:b/>
                <w:lang w:val="en-GB"/>
              </w:rPr>
              <w:t>Recurrent Grant</w:t>
            </w:r>
          </w:p>
        </w:tc>
        <w:tc>
          <w:tcPr>
            <w:tcW w:w="2099" w:type="dxa"/>
            <w:vAlign w:val="center"/>
          </w:tcPr>
          <w:p w:rsidR="00B83890" w:rsidRPr="00881CAB" w:rsidRDefault="00B83890" w:rsidP="006E6DC8">
            <w:pPr>
              <w:jc w:val="right"/>
              <w:rPr>
                <w:color w:val="000000"/>
                <w:lang w:val="en-GB"/>
              </w:rPr>
            </w:pPr>
          </w:p>
        </w:tc>
        <w:tc>
          <w:tcPr>
            <w:tcW w:w="1284" w:type="dxa"/>
            <w:vAlign w:val="center"/>
          </w:tcPr>
          <w:p w:rsidR="00B83890" w:rsidRPr="00881CAB" w:rsidRDefault="00B83890" w:rsidP="006E6DC8">
            <w:pPr>
              <w:jc w:val="right"/>
              <w:rPr>
                <w:b/>
                <w:lang w:val="en-GB"/>
              </w:rPr>
            </w:pPr>
          </w:p>
        </w:tc>
        <w:tc>
          <w:tcPr>
            <w:tcW w:w="1409" w:type="dxa"/>
            <w:vAlign w:val="center"/>
          </w:tcPr>
          <w:p w:rsidR="00B83890" w:rsidRPr="00881CAB" w:rsidRDefault="00B83890" w:rsidP="006E6DC8">
            <w:pPr>
              <w:jc w:val="right"/>
              <w:rPr>
                <w:b/>
                <w:lang w:val="en-GB"/>
              </w:rPr>
            </w:pPr>
          </w:p>
        </w:tc>
      </w:tr>
      <w:tr w:rsidR="00B83890" w:rsidRPr="00881CAB" w:rsidTr="00D74A18">
        <w:trPr>
          <w:trHeight w:val="266"/>
        </w:trPr>
        <w:tc>
          <w:tcPr>
            <w:tcW w:w="4452" w:type="dxa"/>
            <w:vAlign w:val="center"/>
          </w:tcPr>
          <w:p w:rsidR="00B83890" w:rsidRPr="00881CAB" w:rsidRDefault="00B83890" w:rsidP="006E6DC8">
            <w:pPr>
              <w:ind w:firstLine="709"/>
              <w:rPr>
                <w:color w:val="000000"/>
                <w:lang w:val="en-GB"/>
              </w:rPr>
            </w:pPr>
            <w:r w:rsidRPr="00881CAB">
              <w:rPr>
                <w:color w:val="000000"/>
                <w:lang w:val="en-GB"/>
              </w:rPr>
              <w:t>Applied to Operations</w:t>
            </w:r>
            <w:r>
              <w:rPr>
                <w:color w:val="000000"/>
                <w:lang w:val="en-GB"/>
              </w:rPr>
              <w:t xml:space="preserve"> and Assets</w:t>
            </w:r>
          </w:p>
        </w:tc>
        <w:tc>
          <w:tcPr>
            <w:tcW w:w="2099" w:type="dxa"/>
            <w:vAlign w:val="center"/>
          </w:tcPr>
          <w:p w:rsidR="00B83890" w:rsidRPr="00881CAB" w:rsidRDefault="00B83890" w:rsidP="006E6DC8">
            <w:pPr>
              <w:jc w:val="right"/>
              <w:rPr>
                <w:color w:val="000000"/>
                <w:lang w:val="en-GB"/>
              </w:rPr>
            </w:pPr>
          </w:p>
        </w:tc>
        <w:tc>
          <w:tcPr>
            <w:tcW w:w="1284" w:type="dxa"/>
            <w:vAlign w:val="center"/>
          </w:tcPr>
          <w:p w:rsidR="00B83890" w:rsidRDefault="00B83890" w:rsidP="006E6DC8">
            <w:pPr>
              <w:jc w:val="right"/>
            </w:pPr>
            <w:r>
              <w:t>43,848</w:t>
            </w:r>
          </w:p>
        </w:tc>
        <w:tc>
          <w:tcPr>
            <w:tcW w:w="1409" w:type="dxa"/>
            <w:vAlign w:val="center"/>
          </w:tcPr>
          <w:p w:rsidR="00B83890" w:rsidRDefault="00B83890" w:rsidP="006E6DC8">
            <w:pPr>
              <w:jc w:val="right"/>
            </w:pPr>
            <w:r>
              <w:t>43,848</w:t>
            </w:r>
          </w:p>
        </w:tc>
      </w:tr>
      <w:tr w:rsidR="00B83890" w:rsidRPr="00881CAB" w:rsidTr="00D74A18">
        <w:trPr>
          <w:trHeight w:val="266"/>
        </w:trPr>
        <w:tc>
          <w:tcPr>
            <w:tcW w:w="4452" w:type="dxa"/>
            <w:vAlign w:val="center"/>
          </w:tcPr>
          <w:p w:rsidR="00B83890" w:rsidRPr="00881CAB" w:rsidRDefault="00B83890" w:rsidP="006E6DC8">
            <w:pPr>
              <w:ind w:left="709"/>
              <w:rPr>
                <w:color w:val="000000"/>
                <w:lang w:val="en-GB"/>
              </w:rPr>
            </w:pPr>
            <w:r>
              <w:rPr>
                <w:color w:val="000000"/>
                <w:lang w:val="en-GB"/>
              </w:rPr>
              <w:t>Capital Funding</w:t>
            </w:r>
          </w:p>
        </w:tc>
        <w:tc>
          <w:tcPr>
            <w:tcW w:w="2099" w:type="dxa"/>
            <w:vAlign w:val="center"/>
          </w:tcPr>
          <w:p w:rsidR="00B83890" w:rsidRPr="00881CAB" w:rsidRDefault="00B83890" w:rsidP="006E6DC8">
            <w:pPr>
              <w:jc w:val="right"/>
              <w:rPr>
                <w:color w:val="000000"/>
                <w:lang w:val="en-GB"/>
              </w:rPr>
            </w:pPr>
          </w:p>
        </w:tc>
        <w:tc>
          <w:tcPr>
            <w:tcW w:w="1284" w:type="dxa"/>
            <w:vAlign w:val="center"/>
          </w:tcPr>
          <w:p w:rsidR="00B83890" w:rsidRDefault="00B83890" w:rsidP="006E6DC8">
            <w:pPr>
              <w:jc w:val="right"/>
            </w:pPr>
            <w:r>
              <w:t>2,934</w:t>
            </w:r>
          </w:p>
        </w:tc>
        <w:tc>
          <w:tcPr>
            <w:tcW w:w="1409" w:type="dxa"/>
            <w:vAlign w:val="center"/>
          </w:tcPr>
          <w:p w:rsidR="00B83890" w:rsidRDefault="00B83890" w:rsidP="006E6DC8">
            <w:pPr>
              <w:jc w:val="right"/>
            </w:pPr>
            <w:r>
              <w:t>4,032</w:t>
            </w:r>
          </w:p>
        </w:tc>
      </w:tr>
      <w:tr w:rsidR="00B83890" w:rsidRPr="00881CAB" w:rsidTr="00D74A18">
        <w:trPr>
          <w:trHeight w:val="266"/>
        </w:trPr>
        <w:tc>
          <w:tcPr>
            <w:tcW w:w="4452" w:type="dxa"/>
            <w:tcBorders>
              <w:bottom w:val="single" w:sz="4" w:space="0" w:color="auto"/>
            </w:tcBorders>
            <w:vAlign w:val="center"/>
          </w:tcPr>
          <w:p w:rsidR="00B83890" w:rsidRPr="00881CAB" w:rsidRDefault="00B83890" w:rsidP="006E6DC8">
            <w:pPr>
              <w:ind w:left="709"/>
              <w:rPr>
                <w:color w:val="000000"/>
                <w:lang w:val="en-GB"/>
              </w:rPr>
            </w:pPr>
            <w:r w:rsidRPr="00881CAB">
              <w:rPr>
                <w:color w:val="000000"/>
                <w:lang w:val="en-GB"/>
              </w:rPr>
              <w:t>Capital Asset Charge</w:t>
            </w:r>
          </w:p>
        </w:tc>
        <w:tc>
          <w:tcPr>
            <w:tcW w:w="2099" w:type="dxa"/>
            <w:tcBorders>
              <w:bottom w:val="single" w:sz="4" w:space="0" w:color="auto"/>
            </w:tcBorders>
            <w:vAlign w:val="center"/>
          </w:tcPr>
          <w:p w:rsidR="00B83890" w:rsidRPr="00881CAB" w:rsidRDefault="00B83890" w:rsidP="006E6DC8">
            <w:pPr>
              <w:jc w:val="right"/>
              <w:rPr>
                <w:color w:val="000000"/>
                <w:lang w:val="en-GB"/>
              </w:rPr>
            </w:pPr>
          </w:p>
        </w:tc>
        <w:tc>
          <w:tcPr>
            <w:tcW w:w="1284" w:type="dxa"/>
            <w:tcBorders>
              <w:bottom w:val="single" w:sz="4" w:space="0" w:color="auto"/>
            </w:tcBorders>
            <w:vAlign w:val="center"/>
          </w:tcPr>
          <w:p w:rsidR="00B83890" w:rsidRPr="00B7747C" w:rsidRDefault="00B83890" w:rsidP="006E6DC8">
            <w:pPr>
              <w:jc w:val="right"/>
            </w:pPr>
            <w:r>
              <w:t>37,919</w:t>
            </w:r>
          </w:p>
        </w:tc>
        <w:tc>
          <w:tcPr>
            <w:tcW w:w="1409" w:type="dxa"/>
            <w:tcBorders>
              <w:bottom w:val="single" w:sz="4" w:space="0" w:color="auto"/>
            </w:tcBorders>
            <w:vAlign w:val="center"/>
          </w:tcPr>
          <w:p w:rsidR="00B83890" w:rsidRPr="00B7747C" w:rsidRDefault="00B83890" w:rsidP="006E6DC8">
            <w:pPr>
              <w:jc w:val="right"/>
            </w:pPr>
            <w:r>
              <w:t>37,926</w:t>
            </w:r>
          </w:p>
        </w:tc>
      </w:tr>
      <w:tr w:rsidR="00B83890" w:rsidTr="00D74A18">
        <w:trPr>
          <w:trHeight w:val="283"/>
        </w:trPr>
        <w:tc>
          <w:tcPr>
            <w:tcW w:w="4452" w:type="dxa"/>
            <w:tcBorders>
              <w:top w:val="single" w:sz="4" w:space="0" w:color="auto"/>
              <w:bottom w:val="double" w:sz="4" w:space="0" w:color="auto"/>
            </w:tcBorders>
            <w:vAlign w:val="center"/>
          </w:tcPr>
          <w:p w:rsidR="00B83890" w:rsidRPr="008831E1" w:rsidRDefault="00B83890" w:rsidP="006E6DC8">
            <w:pPr>
              <w:rPr>
                <w:b/>
                <w:color w:val="000000"/>
                <w:lang w:val="en-GB"/>
              </w:rPr>
            </w:pPr>
            <w:r w:rsidRPr="00363D76">
              <w:rPr>
                <w:b/>
                <w:color w:val="000000"/>
                <w:lang w:val="en-GB"/>
              </w:rPr>
              <w:t>TOTAL</w:t>
            </w:r>
          </w:p>
        </w:tc>
        <w:tc>
          <w:tcPr>
            <w:tcW w:w="2099" w:type="dxa"/>
            <w:tcBorders>
              <w:top w:val="single" w:sz="4" w:space="0" w:color="auto"/>
              <w:bottom w:val="double" w:sz="4" w:space="0" w:color="auto"/>
            </w:tcBorders>
            <w:vAlign w:val="center"/>
          </w:tcPr>
          <w:p w:rsidR="00B83890" w:rsidRPr="008831E1" w:rsidRDefault="00B83890" w:rsidP="006E6DC8">
            <w:pPr>
              <w:jc w:val="right"/>
              <w:rPr>
                <w:b/>
                <w:color w:val="000000"/>
                <w:lang w:val="en-GB"/>
              </w:rPr>
            </w:pPr>
          </w:p>
        </w:tc>
        <w:tc>
          <w:tcPr>
            <w:tcW w:w="1284" w:type="dxa"/>
            <w:tcBorders>
              <w:top w:val="single" w:sz="4" w:space="0" w:color="auto"/>
              <w:bottom w:val="double" w:sz="4" w:space="0" w:color="auto"/>
            </w:tcBorders>
            <w:vAlign w:val="center"/>
          </w:tcPr>
          <w:p w:rsidR="00B83890" w:rsidRDefault="00B83890" w:rsidP="006E6DC8">
            <w:pPr>
              <w:jc w:val="right"/>
              <w:rPr>
                <w:b/>
                <w:lang w:val="en-GB"/>
              </w:rPr>
            </w:pPr>
            <w:r>
              <w:rPr>
                <w:b/>
                <w:lang w:val="en-GB"/>
              </w:rPr>
              <w:t>84,701</w:t>
            </w:r>
          </w:p>
        </w:tc>
        <w:tc>
          <w:tcPr>
            <w:tcW w:w="1409" w:type="dxa"/>
            <w:tcBorders>
              <w:top w:val="single" w:sz="4" w:space="0" w:color="auto"/>
              <w:bottom w:val="double" w:sz="4" w:space="0" w:color="auto"/>
            </w:tcBorders>
            <w:vAlign w:val="center"/>
          </w:tcPr>
          <w:p w:rsidR="00B83890" w:rsidRDefault="00B83890" w:rsidP="006E6DC8">
            <w:pPr>
              <w:jc w:val="right"/>
              <w:rPr>
                <w:b/>
                <w:lang w:val="en-GB"/>
              </w:rPr>
            </w:pPr>
            <w:r>
              <w:rPr>
                <w:b/>
                <w:lang w:val="en-GB"/>
              </w:rPr>
              <w:t>85,806</w:t>
            </w:r>
          </w:p>
        </w:tc>
      </w:tr>
    </w:tbl>
    <w:p w:rsidR="00B83890" w:rsidRDefault="00B83890" w:rsidP="00B83890">
      <w:pPr>
        <w:pStyle w:val="Heading2"/>
        <w:ind w:left="357"/>
        <w:rPr>
          <w:i/>
          <w:sz w:val="20"/>
        </w:rPr>
      </w:pPr>
    </w:p>
    <w:p w:rsidR="00B83890" w:rsidRPr="00B20BDF" w:rsidRDefault="00B83890" w:rsidP="00B83890"/>
    <w:p w:rsidR="00B83890" w:rsidRPr="00DF22FF" w:rsidRDefault="00B83890" w:rsidP="00513943">
      <w:pPr>
        <w:pStyle w:val="Heading3"/>
      </w:pPr>
      <w:r w:rsidRPr="00DF22FF">
        <w:t>3.</w:t>
      </w:r>
      <w:r w:rsidRPr="00DF22FF">
        <w:tab/>
        <w:t>OTHER GRANTS</w:t>
      </w:r>
    </w:p>
    <w:tbl>
      <w:tblPr>
        <w:tblW w:w="9244" w:type="dxa"/>
        <w:tblLayout w:type="fixed"/>
        <w:tblCellMar>
          <w:left w:w="30" w:type="dxa"/>
          <w:right w:w="30" w:type="dxa"/>
        </w:tblCellMar>
        <w:tblLook w:val="0000" w:firstRow="0" w:lastRow="0" w:firstColumn="0" w:lastColumn="0" w:noHBand="0" w:noVBand="0"/>
        <w:tblCaption w:val="Other Grants"/>
        <w:tblDescription w:val="This table shows Other Grants for 2012–13 with comparison to 2011–12."/>
      </w:tblPr>
      <w:tblGrid>
        <w:gridCol w:w="4371"/>
        <w:gridCol w:w="2115"/>
        <w:gridCol w:w="1270"/>
        <w:gridCol w:w="30"/>
        <w:gridCol w:w="1380"/>
        <w:gridCol w:w="78"/>
      </w:tblGrid>
      <w:tr w:rsidR="00B83890" w:rsidTr="00D74A18">
        <w:trPr>
          <w:trHeight w:val="266"/>
        </w:trPr>
        <w:tc>
          <w:tcPr>
            <w:tcW w:w="7827" w:type="dxa"/>
            <w:gridSpan w:val="4"/>
          </w:tcPr>
          <w:p w:rsidR="00B83890" w:rsidRDefault="00B83890" w:rsidP="006E6DC8">
            <w:pPr>
              <w:jc w:val="right"/>
              <w:rPr>
                <w:b/>
                <w:i/>
                <w:sz w:val="18"/>
                <w:lang w:val="en-GB"/>
              </w:rPr>
            </w:pPr>
            <w:r>
              <w:rPr>
                <w:b/>
                <w:lang w:val="en-GB"/>
              </w:rPr>
              <w:t>2013</w:t>
            </w:r>
          </w:p>
        </w:tc>
        <w:tc>
          <w:tcPr>
            <w:tcW w:w="1417" w:type="dxa"/>
            <w:gridSpan w:val="2"/>
          </w:tcPr>
          <w:p w:rsidR="00B83890" w:rsidRDefault="00B83890" w:rsidP="006E6DC8">
            <w:pPr>
              <w:jc w:val="right"/>
              <w:rPr>
                <w:b/>
                <w:i/>
                <w:sz w:val="18"/>
                <w:lang w:val="en-GB"/>
              </w:rPr>
            </w:pPr>
            <w:r>
              <w:rPr>
                <w:b/>
                <w:lang w:val="en-GB"/>
              </w:rPr>
              <w:t>2012</w:t>
            </w:r>
          </w:p>
        </w:tc>
      </w:tr>
      <w:tr w:rsidR="00B83890" w:rsidRPr="00881CAB" w:rsidTr="00D74A18">
        <w:trPr>
          <w:trHeight w:val="109"/>
        </w:trPr>
        <w:tc>
          <w:tcPr>
            <w:tcW w:w="7827" w:type="dxa"/>
            <w:gridSpan w:val="4"/>
            <w:vAlign w:val="center"/>
          </w:tcPr>
          <w:p w:rsidR="00B83890" w:rsidRPr="00881CAB" w:rsidRDefault="00B83890" w:rsidP="006E6DC8">
            <w:pPr>
              <w:jc w:val="right"/>
              <w:rPr>
                <w:b/>
                <w:lang w:val="en-GB"/>
              </w:rPr>
            </w:pPr>
            <w:r w:rsidRPr="00881CAB">
              <w:rPr>
                <w:b/>
                <w:lang w:val="en-GB"/>
              </w:rPr>
              <w:t>$’000</w:t>
            </w:r>
          </w:p>
        </w:tc>
        <w:tc>
          <w:tcPr>
            <w:tcW w:w="1417" w:type="dxa"/>
            <w:gridSpan w:val="2"/>
            <w:vAlign w:val="center"/>
          </w:tcPr>
          <w:p w:rsidR="00B83890" w:rsidRPr="00881CAB" w:rsidRDefault="00B83890" w:rsidP="006E6DC8">
            <w:pPr>
              <w:jc w:val="right"/>
              <w:rPr>
                <w:b/>
                <w:lang w:val="en-GB"/>
              </w:rPr>
            </w:pPr>
            <w:r w:rsidRPr="00881CAB">
              <w:rPr>
                <w:b/>
                <w:lang w:val="en-GB"/>
              </w:rPr>
              <w:t>$’000</w:t>
            </w:r>
          </w:p>
        </w:tc>
      </w:tr>
      <w:tr w:rsidR="00B83890" w:rsidTr="00D7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8" w:type="dxa"/>
          <w:trHeight w:val="255"/>
        </w:trPr>
        <w:tc>
          <w:tcPr>
            <w:tcW w:w="6521" w:type="dxa"/>
            <w:gridSpan w:val="2"/>
            <w:tcBorders>
              <w:top w:val="nil"/>
              <w:left w:val="nil"/>
              <w:bottom w:val="nil"/>
              <w:right w:val="nil"/>
            </w:tcBorders>
            <w:vAlign w:val="center"/>
          </w:tcPr>
          <w:p w:rsidR="00B83890" w:rsidRDefault="00B83890" w:rsidP="008F2148">
            <w:pPr>
              <w:ind w:left="631"/>
            </w:pPr>
            <w:r>
              <w:rPr>
                <w:color w:val="000000"/>
                <w:lang w:val="en-GB"/>
              </w:rPr>
              <w:t>Other Grants from Victorian Government Entities</w:t>
            </w:r>
          </w:p>
        </w:tc>
        <w:tc>
          <w:tcPr>
            <w:tcW w:w="1276" w:type="dxa"/>
            <w:tcBorders>
              <w:top w:val="nil"/>
              <w:left w:val="nil"/>
              <w:bottom w:val="nil"/>
              <w:right w:val="nil"/>
            </w:tcBorders>
            <w:vAlign w:val="bottom"/>
          </w:tcPr>
          <w:p w:rsidR="00B83890" w:rsidRDefault="00B83890" w:rsidP="006E6DC8">
            <w:pPr>
              <w:jc w:val="right"/>
            </w:pPr>
            <w:r>
              <w:t>3,066</w:t>
            </w:r>
          </w:p>
        </w:tc>
        <w:tc>
          <w:tcPr>
            <w:tcW w:w="1417" w:type="dxa"/>
            <w:gridSpan w:val="2"/>
            <w:tcBorders>
              <w:top w:val="nil"/>
              <w:left w:val="nil"/>
              <w:bottom w:val="nil"/>
              <w:right w:val="nil"/>
            </w:tcBorders>
            <w:vAlign w:val="bottom"/>
          </w:tcPr>
          <w:p w:rsidR="00B83890" w:rsidRDefault="00B83890" w:rsidP="006E6DC8">
            <w:pPr>
              <w:jc w:val="right"/>
            </w:pPr>
            <w:r>
              <w:t>1,041</w:t>
            </w:r>
          </w:p>
        </w:tc>
      </w:tr>
      <w:tr w:rsidR="00B83890" w:rsidTr="00D7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8" w:type="dxa"/>
          <w:trHeight w:val="255"/>
        </w:trPr>
        <w:tc>
          <w:tcPr>
            <w:tcW w:w="4395" w:type="dxa"/>
            <w:tcBorders>
              <w:top w:val="nil"/>
              <w:left w:val="nil"/>
              <w:bottom w:val="nil"/>
              <w:right w:val="nil"/>
            </w:tcBorders>
            <w:vAlign w:val="center"/>
          </w:tcPr>
          <w:p w:rsidR="00B83890" w:rsidRDefault="00B83890" w:rsidP="008F2148">
            <w:pPr>
              <w:ind w:left="631"/>
              <w:rPr>
                <w:color w:val="000000"/>
                <w:lang w:val="en-GB"/>
              </w:rPr>
            </w:pPr>
            <w:r>
              <w:rPr>
                <w:color w:val="000000"/>
                <w:lang w:val="en-GB"/>
              </w:rPr>
              <w:t>Commonwealth Grants</w:t>
            </w:r>
          </w:p>
        </w:tc>
        <w:tc>
          <w:tcPr>
            <w:tcW w:w="2126" w:type="dxa"/>
            <w:tcBorders>
              <w:top w:val="nil"/>
              <w:left w:val="nil"/>
              <w:bottom w:val="nil"/>
              <w:right w:val="nil"/>
            </w:tcBorders>
            <w:vAlign w:val="center"/>
          </w:tcPr>
          <w:p w:rsidR="00B83890" w:rsidRDefault="00B83890" w:rsidP="008F2148">
            <w:pPr>
              <w:ind w:left="631"/>
            </w:pPr>
          </w:p>
        </w:tc>
        <w:tc>
          <w:tcPr>
            <w:tcW w:w="1276" w:type="dxa"/>
            <w:tcBorders>
              <w:top w:val="nil"/>
              <w:left w:val="nil"/>
              <w:bottom w:val="nil"/>
              <w:right w:val="nil"/>
            </w:tcBorders>
            <w:vAlign w:val="center"/>
          </w:tcPr>
          <w:p w:rsidR="00B83890" w:rsidRDefault="00B83890" w:rsidP="006E6DC8">
            <w:pPr>
              <w:jc w:val="right"/>
            </w:pPr>
            <w:r>
              <w:t>332</w:t>
            </w:r>
          </w:p>
        </w:tc>
        <w:tc>
          <w:tcPr>
            <w:tcW w:w="1417" w:type="dxa"/>
            <w:gridSpan w:val="2"/>
            <w:tcBorders>
              <w:top w:val="nil"/>
              <w:left w:val="nil"/>
              <w:bottom w:val="nil"/>
              <w:right w:val="nil"/>
            </w:tcBorders>
            <w:vAlign w:val="center"/>
          </w:tcPr>
          <w:p w:rsidR="00B83890" w:rsidRDefault="00B83890" w:rsidP="006E6DC8">
            <w:pPr>
              <w:jc w:val="right"/>
            </w:pPr>
            <w:r>
              <w:t>1,303</w:t>
            </w:r>
          </w:p>
        </w:tc>
      </w:tr>
      <w:tr w:rsidR="00B83890" w:rsidTr="00D7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8" w:type="dxa"/>
          <w:trHeight w:val="255"/>
        </w:trPr>
        <w:tc>
          <w:tcPr>
            <w:tcW w:w="4395" w:type="dxa"/>
            <w:tcBorders>
              <w:top w:val="nil"/>
              <w:left w:val="nil"/>
              <w:bottom w:val="nil"/>
              <w:right w:val="nil"/>
            </w:tcBorders>
            <w:vAlign w:val="center"/>
          </w:tcPr>
          <w:p w:rsidR="00B83890" w:rsidRDefault="00B83890" w:rsidP="008F2148">
            <w:pPr>
              <w:ind w:left="631"/>
              <w:rPr>
                <w:color w:val="000000"/>
                <w:lang w:val="en-GB"/>
              </w:rPr>
            </w:pPr>
            <w:r>
              <w:rPr>
                <w:color w:val="000000"/>
                <w:lang w:val="en-GB"/>
              </w:rPr>
              <w:t>Other Grants</w:t>
            </w:r>
          </w:p>
        </w:tc>
        <w:tc>
          <w:tcPr>
            <w:tcW w:w="2126" w:type="dxa"/>
            <w:tcBorders>
              <w:top w:val="nil"/>
              <w:left w:val="nil"/>
              <w:bottom w:val="nil"/>
              <w:right w:val="nil"/>
            </w:tcBorders>
            <w:vAlign w:val="center"/>
          </w:tcPr>
          <w:p w:rsidR="00B83890" w:rsidRDefault="00B83890" w:rsidP="008F2148">
            <w:pPr>
              <w:ind w:left="631"/>
            </w:pPr>
          </w:p>
        </w:tc>
        <w:tc>
          <w:tcPr>
            <w:tcW w:w="1276" w:type="dxa"/>
            <w:tcBorders>
              <w:top w:val="nil"/>
              <w:left w:val="nil"/>
              <w:bottom w:val="nil"/>
              <w:right w:val="nil"/>
            </w:tcBorders>
            <w:vAlign w:val="center"/>
          </w:tcPr>
          <w:p w:rsidR="00B83890" w:rsidRDefault="00B83890" w:rsidP="006E6DC8">
            <w:pPr>
              <w:jc w:val="right"/>
            </w:pPr>
            <w:r>
              <w:t>1,292</w:t>
            </w:r>
          </w:p>
        </w:tc>
        <w:tc>
          <w:tcPr>
            <w:tcW w:w="1417" w:type="dxa"/>
            <w:gridSpan w:val="2"/>
            <w:tcBorders>
              <w:top w:val="nil"/>
              <w:left w:val="nil"/>
              <w:bottom w:val="nil"/>
              <w:right w:val="nil"/>
            </w:tcBorders>
            <w:vAlign w:val="center"/>
          </w:tcPr>
          <w:p w:rsidR="00B83890" w:rsidRDefault="00B83890" w:rsidP="006E6DC8">
            <w:pPr>
              <w:jc w:val="right"/>
            </w:pPr>
            <w:r>
              <w:t>1,595</w:t>
            </w:r>
          </w:p>
        </w:tc>
      </w:tr>
      <w:tr w:rsidR="00B83890" w:rsidTr="00D7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8" w:type="dxa"/>
        </w:trPr>
        <w:tc>
          <w:tcPr>
            <w:tcW w:w="4395" w:type="dxa"/>
            <w:tcBorders>
              <w:left w:val="nil"/>
              <w:bottom w:val="double" w:sz="4" w:space="0" w:color="auto"/>
              <w:right w:val="nil"/>
            </w:tcBorders>
            <w:vAlign w:val="center"/>
          </w:tcPr>
          <w:p w:rsidR="00B83890" w:rsidRDefault="00B83890" w:rsidP="006E6DC8">
            <w:pPr>
              <w:spacing w:after="40"/>
              <w:ind w:left="-57"/>
              <w:rPr>
                <w:b/>
                <w:color w:val="000000"/>
                <w:lang w:val="en-GB"/>
              </w:rPr>
            </w:pPr>
            <w:r>
              <w:rPr>
                <w:b/>
              </w:rPr>
              <w:t>TOTAL</w:t>
            </w:r>
          </w:p>
        </w:tc>
        <w:tc>
          <w:tcPr>
            <w:tcW w:w="2126" w:type="dxa"/>
            <w:tcBorders>
              <w:left w:val="nil"/>
              <w:bottom w:val="double" w:sz="4" w:space="0" w:color="auto"/>
              <w:right w:val="nil"/>
            </w:tcBorders>
            <w:vAlign w:val="center"/>
          </w:tcPr>
          <w:p w:rsidR="00B83890" w:rsidRDefault="00B83890" w:rsidP="006E6DC8">
            <w:pPr>
              <w:jc w:val="right"/>
            </w:pPr>
          </w:p>
        </w:tc>
        <w:tc>
          <w:tcPr>
            <w:tcW w:w="1276" w:type="dxa"/>
            <w:tcBorders>
              <w:left w:val="nil"/>
              <w:bottom w:val="double" w:sz="4" w:space="0" w:color="auto"/>
              <w:right w:val="nil"/>
            </w:tcBorders>
            <w:vAlign w:val="center"/>
          </w:tcPr>
          <w:p w:rsidR="00B83890" w:rsidRDefault="00B83890" w:rsidP="006E6DC8">
            <w:pPr>
              <w:jc w:val="right"/>
              <w:rPr>
                <w:b/>
                <w:color w:val="000000"/>
                <w:lang w:val="en-GB"/>
              </w:rPr>
            </w:pPr>
            <w:r>
              <w:rPr>
                <w:b/>
                <w:color w:val="000000"/>
                <w:lang w:val="en-GB"/>
              </w:rPr>
              <w:t>4,690</w:t>
            </w:r>
          </w:p>
        </w:tc>
        <w:tc>
          <w:tcPr>
            <w:tcW w:w="1417" w:type="dxa"/>
            <w:gridSpan w:val="2"/>
            <w:tcBorders>
              <w:left w:val="nil"/>
              <w:bottom w:val="double" w:sz="4" w:space="0" w:color="auto"/>
              <w:right w:val="nil"/>
            </w:tcBorders>
            <w:vAlign w:val="center"/>
          </w:tcPr>
          <w:p w:rsidR="00B83890" w:rsidRPr="00F20B28" w:rsidRDefault="00B83890" w:rsidP="006E6DC8">
            <w:pPr>
              <w:jc w:val="right"/>
              <w:rPr>
                <w:b/>
                <w:color w:val="000000"/>
                <w:lang w:val="en-GB"/>
              </w:rPr>
            </w:pPr>
            <w:r>
              <w:rPr>
                <w:b/>
                <w:color w:val="000000"/>
                <w:lang w:val="en-GB"/>
              </w:rPr>
              <w:t>3,939</w:t>
            </w:r>
          </w:p>
        </w:tc>
      </w:tr>
    </w:tbl>
    <w:p w:rsidR="00B83890" w:rsidRDefault="00B83890" w:rsidP="00B83890">
      <w:pPr>
        <w:pStyle w:val="Heading2"/>
        <w:tabs>
          <w:tab w:val="left" w:pos="354"/>
        </w:tabs>
        <w:rPr>
          <w:i/>
          <w:sz w:val="22"/>
          <w:szCs w:val="22"/>
        </w:rPr>
      </w:pPr>
    </w:p>
    <w:p w:rsidR="00B83890" w:rsidRPr="00B20BDF" w:rsidRDefault="00B83890" w:rsidP="00B83890"/>
    <w:p w:rsidR="00B83890" w:rsidRDefault="00B83890" w:rsidP="00513943">
      <w:pPr>
        <w:pStyle w:val="Heading3"/>
      </w:pPr>
      <w:r w:rsidRPr="00D605F7">
        <w:t>4.</w:t>
      </w:r>
      <w:r w:rsidRPr="00D605F7">
        <w:tab/>
        <w:t>OTHER INCOME</w:t>
      </w:r>
    </w:p>
    <w:tbl>
      <w:tblPr>
        <w:tblW w:w="9244" w:type="dxa"/>
        <w:tblLayout w:type="fixed"/>
        <w:tblCellMar>
          <w:left w:w="30" w:type="dxa"/>
          <w:right w:w="30" w:type="dxa"/>
        </w:tblCellMar>
        <w:tblLook w:val="0000" w:firstRow="0" w:lastRow="0" w:firstColumn="0" w:lastColumn="0" w:noHBand="0" w:noVBand="0"/>
        <w:tblCaption w:val="Other Income"/>
        <w:tblDescription w:val="This table shows Other Income for 2012–13 with comparison to 2011–12."/>
      </w:tblPr>
      <w:tblGrid>
        <w:gridCol w:w="4850"/>
        <w:gridCol w:w="850"/>
        <w:gridCol w:w="2127"/>
        <w:gridCol w:w="1417"/>
      </w:tblGrid>
      <w:tr w:rsidR="00B83890" w:rsidTr="006E6DC8">
        <w:trPr>
          <w:cantSplit/>
          <w:trHeight w:val="266"/>
        </w:trPr>
        <w:tc>
          <w:tcPr>
            <w:tcW w:w="7827" w:type="dxa"/>
            <w:gridSpan w:val="3"/>
          </w:tcPr>
          <w:p w:rsidR="00B83890" w:rsidRDefault="00B83890" w:rsidP="006E6DC8">
            <w:pPr>
              <w:jc w:val="right"/>
              <w:rPr>
                <w:b/>
                <w:i/>
                <w:sz w:val="18"/>
                <w:lang w:val="en-GB"/>
              </w:rPr>
            </w:pPr>
            <w:r>
              <w:rPr>
                <w:b/>
                <w:lang w:val="en-GB"/>
              </w:rPr>
              <w:t>2013</w:t>
            </w:r>
          </w:p>
        </w:tc>
        <w:tc>
          <w:tcPr>
            <w:tcW w:w="1417" w:type="dxa"/>
          </w:tcPr>
          <w:p w:rsidR="00B83890" w:rsidRDefault="00B83890" w:rsidP="006E6DC8">
            <w:pPr>
              <w:jc w:val="right"/>
              <w:rPr>
                <w:b/>
                <w:i/>
                <w:sz w:val="18"/>
                <w:lang w:val="en-GB"/>
              </w:rPr>
            </w:pPr>
            <w:r>
              <w:rPr>
                <w:b/>
                <w:lang w:val="en-GB"/>
              </w:rPr>
              <w:t>2012</w:t>
            </w:r>
          </w:p>
        </w:tc>
      </w:tr>
      <w:tr w:rsidR="00B83890" w:rsidRPr="00881CAB" w:rsidTr="006E6DC8">
        <w:trPr>
          <w:cantSplit/>
          <w:trHeight w:val="109"/>
        </w:trPr>
        <w:tc>
          <w:tcPr>
            <w:tcW w:w="7827" w:type="dxa"/>
            <w:gridSpan w:val="3"/>
            <w:vAlign w:val="center"/>
          </w:tcPr>
          <w:p w:rsidR="00B83890" w:rsidRPr="00881CAB" w:rsidRDefault="00B83890" w:rsidP="006E6DC8">
            <w:pPr>
              <w:jc w:val="right"/>
              <w:rPr>
                <w:b/>
                <w:lang w:val="en-GB"/>
              </w:rPr>
            </w:pPr>
            <w:r w:rsidRPr="00881CAB">
              <w:rPr>
                <w:b/>
                <w:lang w:val="en-GB"/>
              </w:rPr>
              <w:t>$’000</w:t>
            </w:r>
          </w:p>
        </w:tc>
        <w:tc>
          <w:tcPr>
            <w:tcW w:w="1417" w:type="dxa"/>
            <w:vAlign w:val="center"/>
          </w:tcPr>
          <w:p w:rsidR="00B83890" w:rsidRPr="00881CAB" w:rsidRDefault="00B83890" w:rsidP="006E6DC8">
            <w:pPr>
              <w:jc w:val="right"/>
              <w:rPr>
                <w:b/>
                <w:lang w:val="en-GB"/>
              </w:rPr>
            </w:pPr>
            <w:r w:rsidRPr="00881CAB">
              <w:rPr>
                <w:b/>
                <w:lang w:val="en-GB"/>
              </w:rPr>
              <w:t>$’000</w:t>
            </w:r>
          </w:p>
        </w:tc>
      </w:tr>
      <w:tr w:rsidR="00B83890" w:rsidTr="006E6DC8">
        <w:trPr>
          <w:cantSplit/>
          <w:trHeight w:val="255"/>
        </w:trPr>
        <w:tc>
          <w:tcPr>
            <w:tcW w:w="4850" w:type="dxa"/>
            <w:vAlign w:val="center"/>
          </w:tcPr>
          <w:p w:rsidR="00B83890" w:rsidRDefault="00B83890" w:rsidP="006E6DC8">
            <w:pPr>
              <w:ind w:left="720"/>
              <w:rPr>
                <w:color w:val="000000"/>
                <w:lang w:val="en-GB"/>
              </w:rPr>
            </w:pPr>
            <w:r>
              <w:rPr>
                <w:color w:val="000000"/>
                <w:lang w:val="en-GB"/>
              </w:rPr>
              <w:t>Interest Revenue from Financial Assets</w:t>
            </w:r>
          </w:p>
        </w:tc>
        <w:tc>
          <w:tcPr>
            <w:tcW w:w="850" w:type="dxa"/>
            <w:vAlign w:val="center"/>
          </w:tcPr>
          <w:p w:rsidR="00B83890" w:rsidRDefault="00B83890" w:rsidP="006E6DC8">
            <w:pPr>
              <w:jc w:val="right"/>
              <w:rPr>
                <w:color w:val="000000"/>
                <w:lang w:val="en-GB"/>
              </w:rPr>
            </w:pPr>
          </w:p>
        </w:tc>
        <w:tc>
          <w:tcPr>
            <w:tcW w:w="2127" w:type="dxa"/>
            <w:vAlign w:val="center"/>
          </w:tcPr>
          <w:p w:rsidR="00B83890" w:rsidRDefault="00B83890" w:rsidP="006E6DC8">
            <w:pPr>
              <w:jc w:val="right"/>
              <w:rPr>
                <w:color w:val="000000"/>
                <w:lang w:val="en-GB"/>
              </w:rPr>
            </w:pPr>
            <w:r>
              <w:rPr>
                <w:color w:val="000000"/>
                <w:lang w:val="en-GB"/>
              </w:rPr>
              <w:t>1,243</w:t>
            </w:r>
          </w:p>
        </w:tc>
        <w:tc>
          <w:tcPr>
            <w:tcW w:w="1417" w:type="dxa"/>
            <w:vAlign w:val="center"/>
          </w:tcPr>
          <w:p w:rsidR="00B83890" w:rsidRDefault="00B83890" w:rsidP="006E6DC8">
            <w:pPr>
              <w:jc w:val="right"/>
              <w:rPr>
                <w:color w:val="000000"/>
                <w:lang w:val="en-GB"/>
              </w:rPr>
            </w:pPr>
            <w:r>
              <w:rPr>
                <w:color w:val="000000"/>
                <w:lang w:val="en-GB"/>
              </w:rPr>
              <w:t>1,638</w:t>
            </w:r>
          </w:p>
        </w:tc>
      </w:tr>
      <w:tr w:rsidR="00B83890" w:rsidTr="006E6DC8">
        <w:trPr>
          <w:cantSplit/>
          <w:trHeight w:val="255"/>
        </w:trPr>
        <w:tc>
          <w:tcPr>
            <w:tcW w:w="4850" w:type="dxa"/>
            <w:vAlign w:val="center"/>
          </w:tcPr>
          <w:p w:rsidR="00B83890" w:rsidRDefault="00B83890" w:rsidP="006E6DC8">
            <w:pPr>
              <w:ind w:left="720"/>
              <w:rPr>
                <w:color w:val="000000"/>
                <w:lang w:val="en-GB"/>
              </w:rPr>
            </w:pPr>
            <w:r>
              <w:rPr>
                <w:color w:val="000000"/>
                <w:lang w:val="en-GB"/>
              </w:rPr>
              <w:t>Miscellaneous Income</w:t>
            </w:r>
          </w:p>
        </w:tc>
        <w:tc>
          <w:tcPr>
            <w:tcW w:w="850" w:type="dxa"/>
            <w:vAlign w:val="center"/>
          </w:tcPr>
          <w:p w:rsidR="00B83890" w:rsidRDefault="00B83890" w:rsidP="006E6DC8">
            <w:pPr>
              <w:jc w:val="right"/>
              <w:rPr>
                <w:color w:val="000000"/>
                <w:lang w:val="en-GB"/>
              </w:rPr>
            </w:pPr>
          </w:p>
        </w:tc>
        <w:tc>
          <w:tcPr>
            <w:tcW w:w="2127" w:type="dxa"/>
            <w:vAlign w:val="center"/>
          </w:tcPr>
          <w:p w:rsidR="00B83890" w:rsidRDefault="00B83890" w:rsidP="006E6DC8">
            <w:pPr>
              <w:jc w:val="right"/>
              <w:rPr>
                <w:color w:val="000000"/>
                <w:lang w:val="en-GB"/>
              </w:rPr>
            </w:pPr>
            <w:r>
              <w:rPr>
                <w:color w:val="000000"/>
                <w:lang w:val="en-GB"/>
              </w:rPr>
              <w:t>4,207</w:t>
            </w:r>
          </w:p>
        </w:tc>
        <w:tc>
          <w:tcPr>
            <w:tcW w:w="1417" w:type="dxa"/>
            <w:vAlign w:val="center"/>
          </w:tcPr>
          <w:p w:rsidR="00B83890" w:rsidRDefault="00B83890" w:rsidP="006E6DC8">
            <w:pPr>
              <w:jc w:val="right"/>
              <w:rPr>
                <w:color w:val="000000"/>
                <w:lang w:val="en-GB"/>
              </w:rPr>
            </w:pPr>
            <w:r>
              <w:rPr>
                <w:color w:val="000000"/>
                <w:lang w:val="en-GB"/>
              </w:rPr>
              <w:t>4,840</w:t>
            </w:r>
          </w:p>
        </w:tc>
      </w:tr>
      <w:tr w:rsidR="00B83890" w:rsidTr="006E6DC8">
        <w:trPr>
          <w:cantSplit/>
          <w:trHeight w:val="206"/>
        </w:trPr>
        <w:tc>
          <w:tcPr>
            <w:tcW w:w="4850" w:type="dxa"/>
            <w:tcBorders>
              <w:top w:val="single" w:sz="6" w:space="0" w:color="000000"/>
              <w:bottom w:val="double" w:sz="6" w:space="0" w:color="000000"/>
            </w:tcBorders>
          </w:tcPr>
          <w:p w:rsidR="00B83890" w:rsidRDefault="00B83890" w:rsidP="006E6DC8">
            <w:pPr>
              <w:spacing w:after="40"/>
              <w:rPr>
                <w:b/>
                <w:i/>
                <w:color w:val="000000"/>
                <w:lang w:val="en-GB"/>
              </w:rPr>
            </w:pPr>
            <w:r>
              <w:rPr>
                <w:b/>
                <w:color w:val="000000"/>
                <w:lang w:val="en-GB"/>
              </w:rPr>
              <w:t>TOTAL</w:t>
            </w:r>
          </w:p>
        </w:tc>
        <w:tc>
          <w:tcPr>
            <w:tcW w:w="850" w:type="dxa"/>
            <w:tcBorders>
              <w:top w:val="single" w:sz="6" w:space="0" w:color="000000"/>
              <w:bottom w:val="double" w:sz="6" w:space="0" w:color="000000"/>
            </w:tcBorders>
          </w:tcPr>
          <w:p w:rsidR="00B83890" w:rsidRDefault="00B83890" w:rsidP="006E6DC8">
            <w:pPr>
              <w:jc w:val="right"/>
              <w:rPr>
                <w:color w:val="000000"/>
                <w:lang w:val="en-GB"/>
              </w:rPr>
            </w:pPr>
          </w:p>
        </w:tc>
        <w:tc>
          <w:tcPr>
            <w:tcW w:w="2127" w:type="dxa"/>
            <w:tcBorders>
              <w:top w:val="single" w:sz="6" w:space="0" w:color="000000"/>
              <w:bottom w:val="double" w:sz="6" w:space="0" w:color="000000"/>
            </w:tcBorders>
          </w:tcPr>
          <w:p w:rsidR="00B83890" w:rsidRDefault="00B83890" w:rsidP="006E6DC8">
            <w:pPr>
              <w:jc w:val="right"/>
              <w:rPr>
                <w:b/>
                <w:color w:val="000000"/>
                <w:lang w:val="en-GB"/>
              </w:rPr>
            </w:pPr>
            <w:r>
              <w:rPr>
                <w:b/>
                <w:color w:val="000000"/>
                <w:lang w:val="en-GB"/>
              </w:rPr>
              <w:t>5,450</w:t>
            </w:r>
          </w:p>
        </w:tc>
        <w:tc>
          <w:tcPr>
            <w:tcW w:w="1417" w:type="dxa"/>
            <w:tcBorders>
              <w:top w:val="single" w:sz="6" w:space="0" w:color="000000"/>
              <w:bottom w:val="double" w:sz="6" w:space="0" w:color="000000"/>
            </w:tcBorders>
          </w:tcPr>
          <w:p w:rsidR="00B83890" w:rsidRPr="00DF2666" w:rsidRDefault="00B83890" w:rsidP="006E6DC8">
            <w:pPr>
              <w:jc w:val="right"/>
              <w:rPr>
                <w:b/>
                <w:color w:val="000000"/>
                <w:lang w:val="en-GB"/>
              </w:rPr>
            </w:pPr>
            <w:r>
              <w:rPr>
                <w:b/>
                <w:color w:val="000000"/>
                <w:lang w:val="en-GB"/>
              </w:rPr>
              <w:t>6,478</w:t>
            </w:r>
          </w:p>
        </w:tc>
      </w:tr>
    </w:tbl>
    <w:p w:rsidR="00B83890" w:rsidRDefault="00B83890" w:rsidP="00B83890">
      <w:pPr>
        <w:pStyle w:val="Heading2"/>
        <w:ind w:left="352"/>
        <w:rPr>
          <w:sz w:val="22"/>
          <w:szCs w:val="22"/>
        </w:rPr>
      </w:pPr>
    </w:p>
    <w:p w:rsidR="00B83890" w:rsidRPr="00B20BDF" w:rsidRDefault="00B83890" w:rsidP="00B83890"/>
    <w:p w:rsidR="00B83890" w:rsidRDefault="00513943" w:rsidP="00513943">
      <w:pPr>
        <w:pStyle w:val="Heading3"/>
      </w:pPr>
      <w:r>
        <w:t>5.</w:t>
      </w:r>
      <w:r>
        <w:tab/>
      </w:r>
      <w:r w:rsidR="00B83890" w:rsidRPr="008F09DA">
        <w:t>EXPENSES FROM TRANSACTIONS</w:t>
      </w:r>
    </w:p>
    <w:tbl>
      <w:tblPr>
        <w:tblW w:w="9244" w:type="dxa"/>
        <w:tblLayout w:type="fixed"/>
        <w:tblCellMar>
          <w:left w:w="30" w:type="dxa"/>
          <w:right w:w="30" w:type="dxa"/>
        </w:tblCellMar>
        <w:tblLook w:val="0000" w:firstRow="0" w:lastRow="0" w:firstColumn="0" w:lastColumn="0" w:noHBand="0" w:noVBand="0"/>
      </w:tblPr>
      <w:tblGrid>
        <w:gridCol w:w="7827"/>
        <w:gridCol w:w="1417"/>
      </w:tblGrid>
      <w:tr w:rsidR="00B83890" w:rsidTr="006E6DC8">
        <w:trPr>
          <w:cantSplit/>
          <w:trHeight w:val="266"/>
        </w:trPr>
        <w:tc>
          <w:tcPr>
            <w:tcW w:w="7827" w:type="dxa"/>
          </w:tcPr>
          <w:p w:rsidR="00B83890" w:rsidRDefault="00B83890" w:rsidP="006E6DC8">
            <w:pPr>
              <w:jc w:val="right"/>
              <w:rPr>
                <w:b/>
                <w:i/>
                <w:sz w:val="18"/>
                <w:lang w:val="en-GB"/>
              </w:rPr>
            </w:pPr>
            <w:r>
              <w:rPr>
                <w:b/>
                <w:lang w:val="en-GB"/>
              </w:rPr>
              <w:t>2013</w:t>
            </w:r>
          </w:p>
        </w:tc>
        <w:tc>
          <w:tcPr>
            <w:tcW w:w="1417" w:type="dxa"/>
          </w:tcPr>
          <w:p w:rsidR="00B83890" w:rsidRDefault="00B83890" w:rsidP="006E6DC8">
            <w:pPr>
              <w:jc w:val="right"/>
              <w:rPr>
                <w:b/>
                <w:i/>
                <w:sz w:val="18"/>
                <w:lang w:val="en-GB"/>
              </w:rPr>
            </w:pPr>
            <w:r>
              <w:rPr>
                <w:b/>
                <w:lang w:val="en-GB"/>
              </w:rPr>
              <w:t>2012</w:t>
            </w:r>
          </w:p>
        </w:tc>
      </w:tr>
      <w:tr w:rsidR="00B83890" w:rsidRPr="00881CAB" w:rsidTr="006E6DC8">
        <w:trPr>
          <w:cantSplit/>
          <w:trHeight w:val="109"/>
        </w:trPr>
        <w:tc>
          <w:tcPr>
            <w:tcW w:w="7827" w:type="dxa"/>
            <w:vAlign w:val="center"/>
          </w:tcPr>
          <w:p w:rsidR="00B83890" w:rsidRPr="00881CAB" w:rsidRDefault="00B83890" w:rsidP="006E6DC8">
            <w:pPr>
              <w:jc w:val="right"/>
              <w:rPr>
                <w:b/>
                <w:lang w:val="en-GB"/>
              </w:rPr>
            </w:pPr>
            <w:r w:rsidRPr="00881CAB">
              <w:rPr>
                <w:b/>
                <w:lang w:val="en-GB"/>
              </w:rPr>
              <w:t>$’000</w:t>
            </w:r>
          </w:p>
        </w:tc>
        <w:tc>
          <w:tcPr>
            <w:tcW w:w="1417" w:type="dxa"/>
            <w:vAlign w:val="center"/>
          </w:tcPr>
          <w:p w:rsidR="00B83890" w:rsidRPr="00881CAB" w:rsidRDefault="00B83890" w:rsidP="006E6DC8">
            <w:pPr>
              <w:jc w:val="right"/>
              <w:rPr>
                <w:b/>
                <w:lang w:val="en-GB"/>
              </w:rPr>
            </w:pPr>
            <w:r w:rsidRPr="00881CAB">
              <w:rPr>
                <w:b/>
                <w:lang w:val="en-GB"/>
              </w:rPr>
              <w:t>$’000</w:t>
            </w:r>
          </w:p>
        </w:tc>
      </w:tr>
    </w:tbl>
    <w:p w:rsidR="00B83890" w:rsidRPr="008F09DA" w:rsidRDefault="00B83890" w:rsidP="004B1BAA">
      <w:pPr>
        <w:pStyle w:val="Heading4"/>
        <w:rPr>
          <w:i/>
        </w:rPr>
      </w:pPr>
      <w:r w:rsidRPr="008F09DA">
        <w:t>5(a) Employee Expenses</w:t>
      </w:r>
    </w:p>
    <w:tbl>
      <w:tblPr>
        <w:tblW w:w="9244" w:type="dxa"/>
        <w:tblLayout w:type="fixed"/>
        <w:tblCellMar>
          <w:left w:w="30" w:type="dxa"/>
          <w:right w:w="30" w:type="dxa"/>
        </w:tblCellMar>
        <w:tblLook w:val="0000" w:firstRow="0" w:lastRow="0" w:firstColumn="0" w:lastColumn="0" w:noHBand="0" w:noVBand="0"/>
        <w:tblCaption w:val="Expenses from Transactions: Employee expenses"/>
        <w:tblDescription w:val="This table shows Employee Expenses for 2012–13 with comparison to 2011–12."/>
      </w:tblPr>
      <w:tblGrid>
        <w:gridCol w:w="4850"/>
        <w:gridCol w:w="850"/>
        <w:gridCol w:w="2127"/>
        <w:gridCol w:w="1417"/>
      </w:tblGrid>
      <w:tr w:rsidR="00B83890" w:rsidRPr="008F09DA" w:rsidTr="006E6DC8">
        <w:trPr>
          <w:cantSplit/>
          <w:trHeight w:val="255"/>
        </w:trPr>
        <w:tc>
          <w:tcPr>
            <w:tcW w:w="4850" w:type="dxa"/>
            <w:vAlign w:val="center"/>
          </w:tcPr>
          <w:p w:rsidR="00B83890" w:rsidRPr="008F09DA" w:rsidRDefault="00B83890" w:rsidP="006E6DC8">
            <w:pPr>
              <w:ind w:left="720"/>
              <w:rPr>
                <w:color w:val="000000"/>
                <w:lang w:val="en-GB"/>
              </w:rPr>
            </w:pPr>
            <w:r w:rsidRPr="008F09DA">
              <w:rPr>
                <w:color w:val="000000"/>
                <w:lang w:val="en-GB"/>
              </w:rPr>
              <w:t>Salaries, wages and associated costs</w:t>
            </w:r>
          </w:p>
        </w:tc>
        <w:tc>
          <w:tcPr>
            <w:tcW w:w="850" w:type="dxa"/>
            <w:vAlign w:val="center"/>
          </w:tcPr>
          <w:p w:rsidR="00B83890" w:rsidRPr="008F09DA" w:rsidRDefault="00B83890" w:rsidP="006E6DC8">
            <w:pPr>
              <w:jc w:val="right"/>
              <w:rPr>
                <w:color w:val="000000"/>
                <w:lang w:val="en-GB"/>
              </w:rPr>
            </w:pPr>
          </w:p>
        </w:tc>
        <w:tc>
          <w:tcPr>
            <w:tcW w:w="2127" w:type="dxa"/>
            <w:vAlign w:val="center"/>
          </w:tcPr>
          <w:p w:rsidR="00B83890" w:rsidRPr="008F09DA" w:rsidRDefault="00B83890" w:rsidP="006E6DC8">
            <w:pPr>
              <w:jc w:val="right"/>
              <w:rPr>
                <w:color w:val="000000"/>
                <w:lang w:val="en-GB"/>
              </w:rPr>
            </w:pPr>
            <w:r>
              <w:rPr>
                <w:color w:val="000000"/>
                <w:lang w:val="en-GB"/>
              </w:rPr>
              <w:t>37,524</w:t>
            </w:r>
          </w:p>
        </w:tc>
        <w:tc>
          <w:tcPr>
            <w:tcW w:w="1417" w:type="dxa"/>
            <w:vAlign w:val="center"/>
          </w:tcPr>
          <w:p w:rsidR="00B83890" w:rsidRPr="008F09DA" w:rsidRDefault="00B83890" w:rsidP="006E6DC8">
            <w:pPr>
              <w:jc w:val="right"/>
              <w:rPr>
                <w:color w:val="000000"/>
                <w:lang w:val="en-GB"/>
              </w:rPr>
            </w:pPr>
            <w:r>
              <w:rPr>
                <w:color w:val="000000"/>
                <w:lang w:val="en-GB"/>
              </w:rPr>
              <w:t>35,084</w:t>
            </w:r>
          </w:p>
        </w:tc>
      </w:tr>
      <w:tr w:rsidR="00B83890" w:rsidRPr="008F09DA" w:rsidTr="006E6DC8">
        <w:trPr>
          <w:cantSplit/>
          <w:trHeight w:val="255"/>
        </w:trPr>
        <w:tc>
          <w:tcPr>
            <w:tcW w:w="4850" w:type="dxa"/>
            <w:vAlign w:val="center"/>
          </w:tcPr>
          <w:p w:rsidR="00B83890" w:rsidRPr="008F09DA" w:rsidRDefault="00B83890" w:rsidP="006E6DC8">
            <w:pPr>
              <w:ind w:left="720"/>
              <w:rPr>
                <w:color w:val="000000"/>
                <w:lang w:val="en-GB"/>
              </w:rPr>
            </w:pPr>
            <w:r w:rsidRPr="008F09DA">
              <w:rPr>
                <w:color w:val="000000"/>
                <w:lang w:val="en-GB"/>
              </w:rPr>
              <w:t>Superannuation</w:t>
            </w:r>
          </w:p>
        </w:tc>
        <w:tc>
          <w:tcPr>
            <w:tcW w:w="850" w:type="dxa"/>
            <w:vAlign w:val="center"/>
          </w:tcPr>
          <w:p w:rsidR="00B83890" w:rsidRPr="008F09DA" w:rsidRDefault="00B83890" w:rsidP="006E6DC8">
            <w:pPr>
              <w:jc w:val="right"/>
              <w:rPr>
                <w:color w:val="000000"/>
                <w:lang w:val="en-GB"/>
              </w:rPr>
            </w:pPr>
          </w:p>
        </w:tc>
        <w:tc>
          <w:tcPr>
            <w:tcW w:w="2127" w:type="dxa"/>
            <w:vAlign w:val="center"/>
          </w:tcPr>
          <w:p w:rsidR="00B83890" w:rsidRPr="008F09DA" w:rsidRDefault="00B83890" w:rsidP="006E6DC8">
            <w:pPr>
              <w:jc w:val="right"/>
              <w:rPr>
                <w:color w:val="000000"/>
                <w:lang w:val="en-GB"/>
              </w:rPr>
            </w:pPr>
            <w:r>
              <w:rPr>
                <w:color w:val="000000"/>
                <w:lang w:val="en-GB"/>
              </w:rPr>
              <w:t>3,015</w:t>
            </w:r>
          </w:p>
        </w:tc>
        <w:tc>
          <w:tcPr>
            <w:tcW w:w="1417" w:type="dxa"/>
            <w:vAlign w:val="center"/>
          </w:tcPr>
          <w:p w:rsidR="00B83890" w:rsidRPr="008F09DA" w:rsidRDefault="00B83890" w:rsidP="006E6DC8">
            <w:pPr>
              <w:jc w:val="right"/>
              <w:rPr>
                <w:color w:val="000000"/>
                <w:lang w:val="en-GB"/>
              </w:rPr>
            </w:pPr>
            <w:r>
              <w:rPr>
                <w:color w:val="000000"/>
                <w:lang w:val="en-GB"/>
              </w:rPr>
              <w:t>3,092</w:t>
            </w:r>
          </w:p>
        </w:tc>
      </w:tr>
      <w:tr w:rsidR="00B83890" w:rsidRPr="008F09DA" w:rsidTr="006E6DC8">
        <w:trPr>
          <w:cantSplit/>
          <w:trHeight w:val="206"/>
        </w:trPr>
        <w:tc>
          <w:tcPr>
            <w:tcW w:w="4850" w:type="dxa"/>
            <w:tcBorders>
              <w:top w:val="single" w:sz="6" w:space="0" w:color="000000"/>
              <w:bottom w:val="double" w:sz="6" w:space="0" w:color="000000"/>
            </w:tcBorders>
          </w:tcPr>
          <w:p w:rsidR="00B83890" w:rsidRPr="008F09DA" w:rsidRDefault="00B83890" w:rsidP="006E6DC8">
            <w:pPr>
              <w:spacing w:after="40"/>
              <w:rPr>
                <w:b/>
                <w:i/>
                <w:color w:val="000000"/>
                <w:lang w:val="en-GB"/>
              </w:rPr>
            </w:pPr>
            <w:r w:rsidRPr="008F09DA">
              <w:rPr>
                <w:b/>
                <w:color w:val="000000"/>
                <w:lang w:val="en-GB"/>
              </w:rPr>
              <w:t>TOTAL</w:t>
            </w:r>
          </w:p>
        </w:tc>
        <w:tc>
          <w:tcPr>
            <w:tcW w:w="850" w:type="dxa"/>
            <w:tcBorders>
              <w:top w:val="single" w:sz="6" w:space="0" w:color="000000"/>
              <w:bottom w:val="double" w:sz="6" w:space="0" w:color="000000"/>
            </w:tcBorders>
          </w:tcPr>
          <w:p w:rsidR="00B83890" w:rsidRPr="008F09DA" w:rsidRDefault="00B83890" w:rsidP="006E6DC8">
            <w:pPr>
              <w:jc w:val="right"/>
              <w:rPr>
                <w:color w:val="000000"/>
                <w:lang w:val="en-GB"/>
              </w:rPr>
            </w:pPr>
          </w:p>
        </w:tc>
        <w:tc>
          <w:tcPr>
            <w:tcW w:w="2127" w:type="dxa"/>
            <w:tcBorders>
              <w:top w:val="single" w:sz="6" w:space="0" w:color="000000"/>
              <w:bottom w:val="double" w:sz="6" w:space="0" w:color="000000"/>
            </w:tcBorders>
          </w:tcPr>
          <w:p w:rsidR="00B83890" w:rsidRPr="008F09DA" w:rsidRDefault="00B83890" w:rsidP="006E6DC8">
            <w:pPr>
              <w:jc w:val="right"/>
              <w:rPr>
                <w:b/>
                <w:color w:val="000000"/>
                <w:lang w:val="en-GB"/>
              </w:rPr>
            </w:pPr>
            <w:r>
              <w:rPr>
                <w:b/>
                <w:color w:val="000000"/>
                <w:lang w:val="en-GB"/>
              </w:rPr>
              <w:t>40,539</w:t>
            </w:r>
          </w:p>
        </w:tc>
        <w:tc>
          <w:tcPr>
            <w:tcW w:w="1417" w:type="dxa"/>
            <w:tcBorders>
              <w:top w:val="single" w:sz="6" w:space="0" w:color="000000"/>
              <w:bottom w:val="double" w:sz="6" w:space="0" w:color="000000"/>
            </w:tcBorders>
          </w:tcPr>
          <w:p w:rsidR="00B83890" w:rsidRPr="008F09DA" w:rsidRDefault="00B83890" w:rsidP="006E6DC8">
            <w:pPr>
              <w:jc w:val="right"/>
              <w:rPr>
                <w:b/>
                <w:color w:val="000000"/>
                <w:lang w:val="en-GB"/>
              </w:rPr>
            </w:pPr>
            <w:r>
              <w:rPr>
                <w:b/>
                <w:color w:val="000000"/>
                <w:lang w:val="en-GB"/>
              </w:rPr>
              <w:t>38,176</w:t>
            </w:r>
          </w:p>
        </w:tc>
      </w:tr>
    </w:tbl>
    <w:p w:rsidR="00B83890" w:rsidRPr="008F09DA" w:rsidRDefault="00B83890" w:rsidP="00B83890">
      <w:pPr>
        <w:pStyle w:val="Heading2"/>
        <w:ind w:left="352"/>
        <w:rPr>
          <w:i/>
          <w:sz w:val="22"/>
          <w:szCs w:val="22"/>
        </w:rPr>
      </w:pPr>
    </w:p>
    <w:p w:rsidR="00B83890" w:rsidRPr="004B1BAA" w:rsidRDefault="00B83890" w:rsidP="004B1BAA">
      <w:pPr>
        <w:pStyle w:val="Heading4"/>
      </w:pPr>
      <w:r w:rsidRPr="004B1BAA">
        <w:t>5(b) Other Operating Expenses</w:t>
      </w:r>
    </w:p>
    <w:tbl>
      <w:tblPr>
        <w:tblW w:w="9244" w:type="dxa"/>
        <w:tblLayout w:type="fixed"/>
        <w:tblCellMar>
          <w:left w:w="30" w:type="dxa"/>
          <w:right w:w="30" w:type="dxa"/>
        </w:tblCellMar>
        <w:tblLook w:val="0000" w:firstRow="0" w:lastRow="0" w:firstColumn="0" w:lastColumn="0" w:noHBand="0" w:noVBand="0"/>
        <w:tblCaption w:val="Expenses from Transactions: Other Operating Expenses"/>
        <w:tblDescription w:val="This table shows Other Operating Expenses for 2012–13 with comparison to 2011–12."/>
      </w:tblPr>
      <w:tblGrid>
        <w:gridCol w:w="4850"/>
        <w:gridCol w:w="850"/>
        <w:gridCol w:w="2127"/>
        <w:gridCol w:w="1417"/>
      </w:tblGrid>
      <w:tr w:rsidR="00B83890" w:rsidTr="006E6DC8">
        <w:trPr>
          <w:cantSplit/>
          <w:trHeight w:val="266"/>
        </w:trPr>
        <w:tc>
          <w:tcPr>
            <w:tcW w:w="7827" w:type="dxa"/>
            <w:gridSpan w:val="3"/>
          </w:tcPr>
          <w:p w:rsidR="00B83890" w:rsidRDefault="00B83890" w:rsidP="006E6DC8">
            <w:pPr>
              <w:jc w:val="right"/>
              <w:rPr>
                <w:b/>
                <w:i/>
                <w:sz w:val="18"/>
                <w:lang w:val="en-GB"/>
              </w:rPr>
            </w:pPr>
            <w:r>
              <w:rPr>
                <w:b/>
                <w:lang w:val="en-GB"/>
              </w:rPr>
              <w:t>2013</w:t>
            </w:r>
          </w:p>
        </w:tc>
        <w:tc>
          <w:tcPr>
            <w:tcW w:w="1417" w:type="dxa"/>
          </w:tcPr>
          <w:p w:rsidR="00B83890" w:rsidRDefault="00B83890" w:rsidP="006E6DC8">
            <w:pPr>
              <w:jc w:val="right"/>
              <w:rPr>
                <w:b/>
                <w:i/>
                <w:sz w:val="18"/>
                <w:lang w:val="en-GB"/>
              </w:rPr>
            </w:pPr>
            <w:r>
              <w:rPr>
                <w:b/>
                <w:lang w:val="en-GB"/>
              </w:rPr>
              <w:t>2012</w:t>
            </w:r>
          </w:p>
        </w:tc>
      </w:tr>
      <w:tr w:rsidR="00B83890" w:rsidRPr="00881CAB" w:rsidTr="006E6DC8">
        <w:trPr>
          <w:cantSplit/>
          <w:trHeight w:val="109"/>
        </w:trPr>
        <w:tc>
          <w:tcPr>
            <w:tcW w:w="7827" w:type="dxa"/>
            <w:gridSpan w:val="3"/>
            <w:vAlign w:val="center"/>
          </w:tcPr>
          <w:p w:rsidR="00B83890" w:rsidRPr="00881CAB" w:rsidRDefault="00B83890" w:rsidP="006E6DC8">
            <w:pPr>
              <w:jc w:val="right"/>
              <w:rPr>
                <w:b/>
                <w:lang w:val="en-GB"/>
              </w:rPr>
            </w:pPr>
            <w:r w:rsidRPr="00881CAB">
              <w:rPr>
                <w:b/>
                <w:lang w:val="en-GB"/>
              </w:rPr>
              <w:t>$’000</w:t>
            </w:r>
          </w:p>
        </w:tc>
        <w:tc>
          <w:tcPr>
            <w:tcW w:w="1417" w:type="dxa"/>
            <w:vAlign w:val="center"/>
          </w:tcPr>
          <w:p w:rsidR="00B83890" w:rsidRPr="00881CAB" w:rsidRDefault="00B83890" w:rsidP="006E6DC8">
            <w:pPr>
              <w:jc w:val="right"/>
              <w:rPr>
                <w:b/>
                <w:lang w:val="en-GB"/>
              </w:rPr>
            </w:pPr>
            <w:r w:rsidRPr="00881CAB">
              <w:rPr>
                <w:b/>
                <w:lang w:val="en-GB"/>
              </w:rPr>
              <w:t>$’000</w:t>
            </w:r>
          </w:p>
        </w:tc>
      </w:tr>
      <w:tr w:rsidR="00B83890" w:rsidRPr="008F09DA" w:rsidTr="006E6DC8">
        <w:trPr>
          <w:cantSplit/>
          <w:trHeight w:val="255"/>
        </w:trPr>
        <w:tc>
          <w:tcPr>
            <w:tcW w:w="4850" w:type="dxa"/>
            <w:vAlign w:val="center"/>
          </w:tcPr>
          <w:p w:rsidR="00B83890" w:rsidRPr="008F09DA" w:rsidRDefault="00B83890" w:rsidP="006E6DC8">
            <w:pPr>
              <w:tabs>
                <w:tab w:val="left" w:pos="709"/>
              </w:tabs>
              <w:rPr>
                <w:color w:val="000000"/>
                <w:lang w:val="en-GB"/>
              </w:rPr>
            </w:pPr>
            <w:r w:rsidRPr="008F09DA">
              <w:rPr>
                <w:color w:val="000000"/>
                <w:lang w:val="en-GB"/>
              </w:rPr>
              <w:tab/>
              <w:t>Marketing and promotion</w:t>
            </w:r>
          </w:p>
        </w:tc>
        <w:tc>
          <w:tcPr>
            <w:tcW w:w="850" w:type="dxa"/>
            <w:vAlign w:val="center"/>
          </w:tcPr>
          <w:p w:rsidR="00B83890" w:rsidRPr="008F09DA" w:rsidRDefault="00B83890" w:rsidP="006E6DC8">
            <w:pPr>
              <w:jc w:val="right"/>
              <w:rPr>
                <w:color w:val="000000"/>
                <w:lang w:val="en-GB"/>
              </w:rPr>
            </w:pPr>
          </w:p>
        </w:tc>
        <w:tc>
          <w:tcPr>
            <w:tcW w:w="2127" w:type="dxa"/>
            <w:vAlign w:val="center"/>
          </w:tcPr>
          <w:p w:rsidR="00B83890" w:rsidRPr="008F09DA" w:rsidRDefault="00B83890" w:rsidP="006E6DC8">
            <w:pPr>
              <w:jc w:val="right"/>
              <w:rPr>
                <w:color w:val="000000"/>
                <w:lang w:val="en-GB"/>
              </w:rPr>
            </w:pPr>
            <w:r>
              <w:rPr>
                <w:color w:val="000000"/>
                <w:lang w:val="en-GB"/>
              </w:rPr>
              <w:t>2,527</w:t>
            </w:r>
          </w:p>
        </w:tc>
        <w:tc>
          <w:tcPr>
            <w:tcW w:w="1417" w:type="dxa"/>
            <w:vAlign w:val="center"/>
          </w:tcPr>
          <w:p w:rsidR="00B83890" w:rsidRPr="008F09DA" w:rsidRDefault="00B83890" w:rsidP="006E6DC8">
            <w:pPr>
              <w:jc w:val="right"/>
              <w:rPr>
                <w:color w:val="000000"/>
                <w:lang w:val="en-GB"/>
              </w:rPr>
            </w:pPr>
            <w:r>
              <w:rPr>
                <w:color w:val="000000"/>
                <w:lang w:val="en-GB"/>
              </w:rPr>
              <w:t>2,801</w:t>
            </w:r>
          </w:p>
        </w:tc>
      </w:tr>
      <w:tr w:rsidR="00B83890" w:rsidRPr="008F09DA" w:rsidTr="006E6DC8">
        <w:trPr>
          <w:cantSplit/>
          <w:trHeight w:val="255"/>
        </w:trPr>
        <w:tc>
          <w:tcPr>
            <w:tcW w:w="4850" w:type="dxa"/>
            <w:vAlign w:val="center"/>
          </w:tcPr>
          <w:p w:rsidR="00B83890" w:rsidRPr="008F09DA" w:rsidRDefault="00B83890" w:rsidP="006E6DC8">
            <w:pPr>
              <w:tabs>
                <w:tab w:val="left" w:pos="709"/>
              </w:tabs>
              <w:ind w:left="709"/>
              <w:rPr>
                <w:color w:val="000000"/>
                <w:lang w:val="en-GB"/>
              </w:rPr>
            </w:pPr>
            <w:r w:rsidRPr="008F09DA">
              <w:rPr>
                <w:color w:val="000000"/>
                <w:lang w:val="en-GB"/>
              </w:rPr>
              <w:t>Contractors and Exhibition Display Costs</w:t>
            </w:r>
          </w:p>
        </w:tc>
        <w:tc>
          <w:tcPr>
            <w:tcW w:w="850" w:type="dxa"/>
            <w:vAlign w:val="center"/>
          </w:tcPr>
          <w:p w:rsidR="00B83890" w:rsidRPr="008F09DA" w:rsidRDefault="00B83890" w:rsidP="006E6DC8">
            <w:pPr>
              <w:jc w:val="right"/>
              <w:rPr>
                <w:color w:val="000000"/>
                <w:lang w:val="en-GB"/>
              </w:rPr>
            </w:pPr>
          </w:p>
        </w:tc>
        <w:tc>
          <w:tcPr>
            <w:tcW w:w="2127" w:type="dxa"/>
            <w:vAlign w:val="center"/>
          </w:tcPr>
          <w:p w:rsidR="00B83890" w:rsidRPr="008F09DA" w:rsidRDefault="00B83890" w:rsidP="006E6DC8">
            <w:pPr>
              <w:jc w:val="right"/>
              <w:rPr>
                <w:color w:val="000000"/>
                <w:lang w:val="en-GB"/>
              </w:rPr>
            </w:pPr>
            <w:r>
              <w:rPr>
                <w:color w:val="000000"/>
                <w:lang w:val="en-GB"/>
              </w:rPr>
              <w:t>9,200</w:t>
            </w:r>
          </w:p>
        </w:tc>
        <w:tc>
          <w:tcPr>
            <w:tcW w:w="1417" w:type="dxa"/>
            <w:vAlign w:val="center"/>
          </w:tcPr>
          <w:p w:rsidR="00B83890" w:rsidRPr="008F09DA" w:rsidRDefault="00B83890" w:rsidP="006E6DC8">
            <w:pPr>
              <w:jc w:val="right"/>
              <w:rPr>
                <w:color w:val="000000"/>
                <w:lang w:val="en-GB"/>
              </w:rPr>
            </w:pPr>
            <w:r>
              <w:rPr>
                <w:color w:val="000000"/>
                <w:lang w:val="en-GB"/>
              </w:rPr>
              <w:t>8,076</w:t>
            </w:r>
          </w:p>
        </w:tc>
      </w:tr>
      <w:tr w:rsidR="00B83890" w:rsidRPr="008F09DA" w:rsidTr="006E6DC8">
        <w:trPr>
          <w:cantSplit/>
          <w:trHeight w:val="255"/>
        </w:trPr>
        <w:tc>
          <w:tcPr>
            <w:tcW w:w="4850" w:type="dxa"/>
            <w:vAlign w:val="center"/>
          </w:tcPr>
          <w:p w:rsidR="00B83890" w:rsidRPr="008F09DA" w:rsidRDefault="00B83890" w:rsidP="006E6DC8">
            <w:pPr>
              <w:tabs>
                <w:tab w:val="left" w:pos="709"/>
              </w:tabs>
              <w:ind w:left="709"/>
              <w:rPr>
                <w:color w:val="000000"/>
                <w:lang w:val="en-GB"/>
              </w:rPr>
            </w:pPr>
            <w:r w:rsidRPr="008F09DA">
              <w:rPr>
                <w:color w:val="000000"/>
                <w:lang w:val="en-GB"/>
              </w:rPr>
              <w:t>Collections Management</w:t>
            </w:r>
          </w:p>
        </w:tc>
        <w:tc>
          <w:tcPr>
            <w:tcW w:w="850" w:type="dxa"/>
            <w:vAlign w:val="center"/>
          </w:tcPr>
          <w:p w:rsidR="00B83890" w:rsidRPr="008F09DA" w:rsidRDefault="00B83890" w:rsidP="006E6DC8">
            <w:pPr>
              <w:jc w:val="right"/>
              <w:rPr>
                <w:color w:val="000000"/>
                <w:lang w:val="en-GB"/>
              </w:rPr>
            </w:pPr>
          </w:p>
        </w:tc>
        <w:tc>
          <w:tcPr>
            <w:tcW w:w="2127" w:type="dxa"/>
            <w:vAlign w:val="center"/>
          </w:tcPr>
          <w:p w:rsidR="00B83890" w:rsidRPr="008F09DA" w:rsidRDefault="00B83890" w:rsidP="006E6DC8">
            <w:pPr>
              <w:jc w:val="right"/>
              <w:rPr>
                <w:color w:val="000000"/>
                <w:lang w:val="en-GB"/>
              </w:rPr>
            </w:pPr>
            <w:r>
              <w:rPr>
                <w:color w:val="000000"/>
                <w:lang w:val="en-GB"/>
              </w:rPr>
              <w:t>187</w:t>
            </w:r>
          </w:p>
        </w:tc>
        <w:tc>
          <w:tcPr>
            <w:tcW w:w="1417" w:type="dxa"/>
            <w:vAlign w:val="center"/>
          </w:tcPr>
          <w:p w:rsidR="00B83890" w:rsidRPr="008F09DA" w:rsidRDefault="00B83890" w:rsidP="006E6DC8">
            <w:pPr>
              <w:jc w:val="right"/>
              <w:rPr>
                <w:color w:val="000000"/>
                <w:lang w:val="en-GB"/>
              </w:rPr>
            </w:pPr>
            <w:r>
              <w:rPr>
                <w:color w:val="000000"/>
                <w:lang w:val="en-GB"/>
              </w:rPr>
              <w:t>125</w:t>
            </w:r>
          </w:p>
        </w:tc>
      </w:tr>
      <w:tr w:rsidR="00B83890" w:rsidTr="006E6DC8">
        <w:trPr>
          <w:cantSplit/>
          <w:trHeight w:val="206"/>
        </w:trPr>
        <w:tc>
          <w:tcPr>
            <w:tcW w:w="4850" w:type="dxa"/>
            <w:tcBorders>
              <w:top w:val="single" w:sz="6" w:space="0" w:color="000000"/>
              <w:bottom w:val="double" w:sz="6" w:space="0" w:color="000000"/>
            </w:tcBorders>
          </w:tcPr>
          <w:p w:rsidR="00B83890" w:rsidRPr="008F09DA" w:rsidRDefault="00B83890" w:rsidP="006E6DC8">
            <w:pPr>
              <w:tabs>
                <w:tab w:val="left" w:pos="709"/>
              </w:tabs>
              <w:rPr>
                <w:b/>
                <w:i/>
                <w:color w:val="000000"/>
                <w:lang w:val="en-GB"/>
              </w:rPr>
            </w:pPr>
            <w:r w:rsidRPr="008F09DA">
              <w:rPr>
                <w:b/>
                <w:color w:val="000000"/>
                <w:lang w:val="en-GB"/>
              </w:rPr>
              <w:t>TOTAL</w:t>
            </w:r>
          </w:p>
        </w:tc>
        <w:tc>
          <w:tcPr>
            <w:tcW w:w="850" w:type="dxa"/>
            <w:tcBorders>
              <w:top w:val="single" w:sz="6" w:space="0" w:color="000000"/>
              <w:bottom w:val="double" w:sz="6" w:space="0" w:color="000000"/>
            </w:tcBorders>
          </w:tcPr>
          <w:p w:rsidR="00B83890" w:rsidRPr="008F09DA" w:rsidRDefault="00B83890" w:rsidP="006E6DC8">
            <w:pPr>
              <w:jc w:val="right"/>
              <w:rPr>
                <w:color w:val="000000"/>
                <w:lang w:val="en-GB"/>
              </w:rPr>
            </w:pPr>
          </w:p>
        </w:tc>
        <w:tc>
          <w:tcPr>
            <w:tcW w:w="2127" w:type="dxa"/>
            <w:tcBorders>
              <w:top w:val="single" w:sz="6" w:space="0" w:color="000000"/>
              <w:bottom w:val="double" w:sz="6" w:space="0" w:color="000000"/>
            </w:tcBorders>
          </w:tcPr>
          <w:p w:rsidR="00B83890" w:rsidRPr="008F09DA" w:rsidRDefault="00B83890" w:rsidP="006E6DC8">
            <w:pPr>
              <w:jc w:val="right"/>
              <w:rPr>
                <w:b/>
                <w:color w:val="000000"/>
                <w:lang w:val="en-GB"/>
              </w:rPr>
            </w:pPr>
            <w:r>
              <w:rPr>
                <w:b/>
                <w:color w:val="000000"/>
                <w:lang w:val="en-GB"/>
              </w:rPr>
              <w:t>11,914</w:t>
            </w:r>
          </w:p>
        </w:tc>
        <w:tc>
          <w:tcPr>
            <w:tcW w:w="1417" w:type="dxa"/>
            <w:tcBorders>
              <w:top w:val="single" w:sz="6" w:space="0" w:color="000000"/>
              <w:bottom w:val="double" w:sz="6" w:space="0" w:color="000000"/>
            </w:tcBorders>
          </w:tcPr>
          <w:p w:rsidR="00B83890" w:rsidRDefault="00B83890" w:rsidP="006E6DC8">
            <w:pPr>
              <w:jc w:val="right"/>
              <w:rPr>
                <w:b/>
                <w:color w:val="000000"/>
                <w:lang w:val="en-GB"/>
              </w:rPr>
            </w:pPr>
            <w:r>
              <w:rPr>
                <w:b/>
                <w:color w:val="000000"/>
                <w:lang w:val="en-GB"/>
              </w:rPr>
              <w:t>11,002</w:t>
            </w:r>
          </w:p>
        </w:tc>
      </w:tr>
    </w:tbl>
    <w:p w:rsidR="00B83890" w:rsidRDefault="00B83890" w:rsidP="00B83890">
      <w:pPr>
        <w:rPr>
          <w:i/>
        </w:rPr>
      </w:pPr>
    </w:p>
    <w:p w:rsidR="00B83890" w:rsidRDefault="00B83890" w:rsidP="00B83890">
      <w:pPr>
        <w:rPr>
          <w:i/>
        </w:rPr>
      </w:pPr>
    </w:p>
    <w:p w:rsidR="00B83890" w:rsidRDefault="00B83890" w:rsidP="00513943">
      <w:pPr>
        <w:pStyle w:val="Heading3"/>
      </w:pPr>
      <w:r w:rsidRPr="00D605F7">
        <w:t xml:space="preserve">6. </w:t>
      </w:r>
      <w:r>
        <w:t xml:space="preserve">  </w:t>
      </w:r>
      <w:r w:rsidR="00513943">
        <w:tab/>
      </w:r>
      <w:r w:rsidRPr="00D605F7">
        <w:t xml:space="preserve">CASH AND CASH EQUIVALENTS </w:t>
      </w:r>
    </w:p>
    <w:tbl>
      <w:tblPr>
        <w:tblW w:w="9244" w:type="dxa"/>
        <w:tblLayout w:type="fixed"/>
        <w:tblCellMar>
          <w:left w:w="30" w:type="dxa"/>
          <w:right w:w="30" w:type="dxa"/>
        </w:tblCellMar>
        <w:tblLook w:val="0000" w:firstRow="0" w:lastRow="0" w:firstColumn="0" w:lastColumn="0" w:noHBand="0" w:noVBand="0"/>
        <w:tblCaption w:val="Cash and Cash Equivalents"/>
        <w:tblDescription w:val="This table shows Cash and Cash equivalents for 2012–13 with comparison to 2011–12."/>
      </w:tblPr>
      <w:tblGrid>
        <w:gridCol w:w="4850"/>
        <w:gridCol w:w="850"/>
        <w:gridCol w:w="2127"/>
        <w:gridCol w:w="1417"/>
      </w:tblGrid>
      <w:tr w:rsidR="00B83890" w:rsidTr="006E6DC8">
        <w:trPr>
          <w:cantSplit/>
          <w:trHeight w:val="266"/>
        </w:trPr>
        <w:tc>
          <w:tcPr>
            <w:tcW w:w="7827" w:type="dxa"/>
            <w:gridSpan w:val="3"/>
          </w:tcPr>
          <w:p w:rsidR="00B83890" w:rsidRDefault="00B83890" w:rsidP="006E6DC8">
            <w:pPr>
              <w:jc w:val="right"/>
              <w:rPr>
                <w:b/>
                <w:i/>
                <w:sz w:val="18"/>
                <w:lang w:val="en-GB"/>
              </w:rPr>
            </w:pPr>
            <w:r>
              <w:rPr>
                <w:b/>
                <w:lang w:val="en-GB"/>
              </w:rPr>
              <w:t>2013</w:t>
            </w:r>
          </w:p>
        </w:tc>
        <w:tc>
          <w:tcPr>
            <w:tcW w:w="1417" w:type="dxa"/>
          </w:tcPr>
          <w:p w:rsidR="00B83890" w:rsidRDefault="00B83890" w:rsidP="006E6DC8">
            <w:pPr>
              <w:jc w:val="right"/>
              <w:rPr>
                <w:b/>
                <w:i/>
                <w:sz w:val="18"/>
                <w:lang w:val="en-GB"/>
              </w:rPr>
            </w:pPr>
            <w:r>
              <w:rPr>
                <w:b/>
                <w:lang w:val="en-GB"/>
              </w:rPr>
              <w:t>2012</w:t>
            </w:r>
          </w:p>
        </w:tc>
      </w:tr>
      <w:tr w:rsidR="00B83890" w:rsidRPr="00881CAB" w:rsidTr="006E6DC8">
        <w:trPr>
          <w:cantSplit/>
          <w:trHeight w:val="109"/>
        </w:trPr>
        <w:tc>
          <w:tcPr>
            <w:tcW w:w="7827" w:type="dxa"/>
            <w:gridSpan w:val="3"/>
            <w:vAlign w:val="center"/>
          </w:tcPr>
          <w:p w:rsidR="00B83890" w:rsidRPr="00881CAB" w:rsidRDefault="00B83890" w:rsidP="006E6DC8">
            <w:pPr>
              <w:jc w:val="right"/>
              <w:rPr>
                <w:b/>
                <w:lang w:val="en-GB"/>
              </w:rPr>
            </w:pPr>
            <w:r w:rsidRPr="00881CAB">
              <w:rPr>
                <w:b/>
                <w:lang w:val="en-GB"/>
              </w:rPr>
              <w:t>$’000</w:t>
            </w:r>
          </w:p>
        </w:tc>
        <w:tc>
          <w:tcPr>
            <w:tcW w:w="1417" w:type="dxa"/>
            <w:vAlign w:val="center"/>
          </w:tcPr>
          <w:p w:rsidR="00B83890" w:rsidRPr="00881CAB" w:rsidRDefault="00B83890" w:rsidP="006E6DC8">
            <w:pPr>
              <w:jc w:val="right"/>
              <w:rPr>
                <w:b/>
                <w:lang w:val="en-GB"/>
              </w:rPr>
            </w:pPr>
            <w:r w:rsidRPr="00881CAB">
              <w:rPr>
                <w:b/>
                <w:lang w:val="en-GB"/>
              </w:rPr>
              <w:t>$’000</w:t>
            </w:r>
          </w:p>
        </w:tc>
      </w:tr>
      <w:tr w:rsidR="00B83890" w:rsidTr="006E6DC8">
        <w:trPr>
          <w:cantSplit/>
          <w:trHeight w:val="255"/>
        </w:trPr>
        <w:tc>
          <w:tcPr>
            <w:tcW w:w="4850" w:type="dxa"/>
            <w:vAlign w:val="center"/>
          </w:tcPr>
          <w:p w:rsidR="00B83890" w:rsidRDefault="00B83890" w:rsidP="006E6DC8">
            <w:pPr>
              <w:ind w:left="709"/>
              <w:rPr>
                <w:color w:val="000000"/>
                <w:lang w:val="en-GB"/>
              </w:rPr>
            </w:pPr>
            <w:r>
              <w:rPr>
                <w:color w:val="000000"/>
                <w:lang w:val="en-GB"/>
              </w:rPr>
              <w:t>Interest Bearing Deposits</w:t>
            </w:r>
          </w:p>
        </w:tc>
        <w:tc>
          <w:tcPr>
            <w:tcW w:w="850" w:type="dxa"/>
            <w:vAlign w:val="center"/>
          </w:tcPr>
          <w:p w:rsidR="00B83890" w:rsidRDefault="00B83890" w:rsidP="006E6DC8">
            <w:pPr>
              <w:jc w:val="right"/>
              <w:rPr>
                <w:color w:val="000000"/>
                <w:lang w:val="en-GB"/>
              </w:rPr>
            </w:pPr>
          </w:p>
        </w:tc>
        <w:tc>
          <w:tcPr>
            <w:tcW w:w="2127" w:type="dxa"/>
            <w:vAlign w:val="center"/>
          </w:tcPr>
          <w:p w:rsidR="00B83890" w:rsidRDefault="00B83890" w:rsidP="006E6DC8">
            <w:pPr>
              <w:jc w:val="right"/>
              <w:rPr>
                <w:color w:val="000000"/>
                <w:lang w:val="en-GB"/>
              </w:rPr>
            </w:pPr>
            <w:r>
              <w:rPr>
                <w:color w:val="000000"/>
                <w:lang w:val="en-GB"/>
              </w:rPr>
              <w:t>23,294</w:t>
            </w:r>
          </w:p>
        </w:tc>
        <w:tc>
          <w:tcPr>
            <w:tcW w:w="1417" w:type="dxa"/>
            <w:vAlign w:val="center"/>
          </w:tcPr>
          <w:p w:rsidR="00B83890" w:rsidRDefault="00B83890" w:rsidP="006E6DC8">
            <w:pPr>
              <w:jc w:val="right"/>
              <w:rPr>
                <w:color w:val="000000"/>
                <w:lang w:val="en-GB"/>
              </w:rPr>
            </w:pPr>
            <w:r>
              <w:rPr>
                <w:color w:val="000000"/>
                <w:lang w:val="en-GB"/>
              </w:rPr>
              <w:t>25,569</w:t>
            </w:r>
          </w:p>
        </w:tc>
      </w:tr>
      <w:tr w:rsidR="00B83890" w:rsidTr="006E6DC8">
        <w:trPr>
          <w:cantSplit/>
          <w:trHeight w:val="255"/>
        </w:trPr>
        <w:tc>
          <w:tcPr>
            <w:tcW w:w="4850" w:type="dxa"/>
            <w:vAlign w:val="center"/>
          </w:tcPr>
          <w:p w:rsidR="00B83890" w:rsidRDefault="00B83890" w:rsidP="006E6DC8">
            <w:pPr>
              <w:ind w:left="709"/>
              <w:rPr>
                <w:color w:val="000000"/>
                <w:lang w:val="en-GB"/>
              </w:rPr>
            </w:pPr>
            <w:r>
              <w:rPr>
                <w:color w:val="000000"/>
                <w:lang w:val="en-GB"/>
              </w:rPr>
              <w:t>Cash</w:t>
            </w:r>
          </w:p>
        </w:tc>
        <w:tc>
          <w:tcPr>
            <w:tcW w:w="850" w:type="dxa"/>
            <w:vAlign w:val="center"/>
          </w:tcPr>
          <w:p w:rsidR="00B83890" w:rsidRDefault="00B83890" w:rsidP="006E6DC8">
            <w:pPr>
              <w:jc w:val="right"/>
              <w:rPr>
                <w:color w:val="000000"/>
                <w:lang w:val="en-GB"/>
              </w:rPr>
            </w:pPr>
          </w:p>
        </w:tc>
        <w:tc>
          <w:tcPr>
            <w:tcW w:w="2127" w:type="dxa"/>
            <w:vAlign w:val="center"/>
          </w:tcPr>
          <w:p w:rsidR="00B83890" w:rsidRDefault="00B83890" w:rsidP="006E6DC8">
            <w:pPr>
              <w:tabs>
                <w:tab w:val="left" w:pos="1230"/>
              </w:tabs>
              <w:jc w:val="right"/>
              <w:rPr>
                <w:color w:val="000000"/>
                <w:lang w:val="en-GB"/>
              </w:rPr>
            </w:pPr>
            <w:r>
              <w:rPr>
                <w:color w:val="000000"/>
                <w:lang w:val="en-GB"/>
              </w:rPr>
              <w:t>1,104</w:t>
            </w:r>
          </w:p>
        </w:tc>
        <w:tc>
          <w:tcPr>
            <w:tcW w:w="1417" w:type="dxa"/>
            <w:vAlign w:val="center"/>
          </w:tcPr>
          <w:p w:rsidR="00B83890" w:rsidRDefault="00B83890" w:rsidP="006E6DC8">
            <w:pPr>
              <w:tabs>
                <w:tab w:val="left" w:pos="1230"/>
              </w:tabs>
              <w:jc w:val="right"/>
              <w:rPr>
                <w:color w:val="000000"/>
                <w:lang w:val="en-GB"/>
              </w:rPr>
            </w:pPr>
            <w:r>
              <w:rPr>
                <w:color w:val="000000"/>
                <w:lang w:val="en-GB"/>
              </w:rPr>
              <w:t>236</w:t>
            </w:r>
          </w:p>
        </w:tc>
      </w:tr>
      <w:tr w:rsidR="00B83890" w:rsidTr="006E6DC8">
        <w:trPr>
          <w:cantSplit/>
          <w:trHeight w:val="206"/>
        </w:trPr>
        <w:tc>
          <w:tcPr>
            <w:tcW w:w="4850" w:type="dxa"/>
            <w:tcBorders>
              <w:top w:val="single" w:sz="6" w:space="0" w:color="000000"/>
              <w:bottom w:val="double" w:sz="6" w:space="0" w:color="000000"/>
            </w:tcBorders>
          </w:tcPr>
          <w:p w:rsidR="00B83890" w:rsidRDefault="00B83890" w:rsidP="006E6DC8">
            <w:pPr>
              <w:rPr>
                <w:b/>
                <w:color w:val="000000"/>
                <w:lang w:val="en-GB"/>
              </w:rPr>
            </w:pPr>
            <w:r>
              <w:rPr>
                <w:b/>
                <w:color w:val="000000"/>
                <w:lang w:val="en-GB"/>
              </w:rPr>
              <w:t>TOTAL</w:t>
            </w:r>
          </w:p>
        </w:tc>
        <w:tc>
          <w:tcPr>
            <w:tcW w:w="850" w:type="dxa"/>
            <w:tcBorders>
              <w:top w:val="single" w:sz="6" w:space="0" w:color="000000"/>
              <w:bottom w:val="double" w:sz="6" w:space="0" w:color="000000"/>
            </w:tcBorders>
          </w:tcPr>
          <w:p w:rsidR="00B83890" w:rsidRDefault="00B83890" w:rsidP="006E6DC8">
            <w:pPr>
              <w:rPr>
                <w:b/>
                <w:color w:val="000000"/>
                <w:lang w:val="en-GB"/>
              </w:rPr>
            </w:pPr>
          </w:p>
        </w:tc>
        <w:tc>
          <w:tcPr>
            <w:tcW w:w="2127" w:type="dxa"/>
            <w:tcBorders>
              <w:top w:val="single" w:sz="6" w:space="0" w:color="000000"/>
              <w:bottom w:val="double" w:sz="6" w:space="0" w:color="000000"/>
            </w:tcBorders>
          </w:tcPr>
          <w:p w:rsidR="00B83890" w:rsidRDefault="00B83890" w:rsidP="006E6DC8">
            <w:pPr>
              <w:jc w:val="right"/>
              <w:rPr>
                <w:b/>
                <w:color w:val="000000"/>
                <w:lang w:val="en-GB"/>
              </w:rPr>
            </w:pPr>
            <w:r>
              <w:rPr>
                <w:b/>
                <w:color w:val="000000"/>
                <w:lang w:val="en-GB"/>
              </w:rPr>
              <w:t>24,398</w:t>
            </w:r>
          </w:p>
        </w:tc>
        <w:tc>
          <w:tcPr>
            <w:tcW w:w="1417" w:type="dxa"/>
            <w:tcBorders>
              <w:top w:val="single" w:sz="6" w:space="0" w:color="000000"/>
              <w:bottom w:val="double" w:sz="6" w:space="0" w:color="000000"/>
            </w:tcBorders>
          </w:tcPr>
          <w:p w:rsidR="00B83890" w:rsidRDefault="00B83890" w:rsidP="006E6DC8">
            <w:pPr>
              <w:jc w:val="right"/>
              <w:rPr>
                <w:b/>
                <w:color w:val="000000"/>
                <w:lang w:val="en-GB"/>
              </w:rPr>
            </w:pPr>
            <w:r>
              <w:rPr>
                <w:b/>
                <w:color w:val="000000"/>
                <w:lang w:val="en-GB"/>
              </w:rPr>
              <w:t>25,805</w:t>
            </w:r>
          </w:p>
        </w:tc>
      </w:tr>
    </w:tbl>
    <w:p w:rsidR="00B83890" w:rsidRDefault="00B83890" w:rsidP="00B83890">
      <w:pPr>
        <w:rPr>
          <w:i/>
        </w:rPr>
      </w:pPr>
    </w:p>
    <w:p w:rsidR="00B83890" w:rsidRDefault="00B83890" w:rsidP="00B83890">
      <w:pPr>
        <w:rPr>
          <w:i/>
        </w:rPr>
      </w:pPr>
    </w:p>
    <w:p w:rsidR="00B83890" w:rsidRDefault="00513943" w:rsidP="00513943">
      <w:pPr>
        <w:pStyle w:val="Heading3"/>
      </w:pPr>
      <w:r>
        <w:lastRenderedPageBreak/>
        <w:t>7.</w:t>
      </w:r>
      <w:r>
        <w:tab/>
      </w:r>
      <w:r w:rsidR="00B83890" w:rsidRPr="00D605F7">
        <w:t>RECEIVABLES</w:t>
      </w:r>
    </w:p>
    <w:tbl>
      <w:tblPr>
        <w:tblW w:w="9245" w:type="dxa"/>
        <w:tblInd w:w="-1" w:type="dxa"/>
        <w:tblLayout w:type="fixed"/>
        <w:tblCellMar>
          <w:left w:w="30" w:type="dxa"/>
          <w:right w:w="30" w:type="dxa"/>
        </w:tblCellMar>
        <w:tblLook w:val="0000" w:firstRow="0" w:lastRow="0" w:firstColumn="0" w:lastColumn="0" w:noHBand="0" w:noVBand="0"/>
        <w:tblCaption w:val="Receivables"/>
        <w:tblDescription w:val="This table shows Receivables for 2012–13 with comparison to 2011–12."/>
      </w:tblPr>
      <w:tblGrid>
        <w:gridCol w:w="4851"/>
        <w:gridCol w:w="850"/>
        <w:gridCol w:w="2127"/>
        <w:gridCol w:w="1417"/>
      </w:tblGrid>
      <w:tr w:rsidR="00B83890" w:rsidTr="006E6DC8">
        <w:trPr>
          <w:cantSplit/>
          <w:trHeight w:val="266"/>
        </w:trPr>
        <w:tc>
          <w:tcPr>
            <w:tcW w:w="7827" w:type="dxa"/>
            <w:gridSpan w:val="3"/>
          </w:tcPr>
          <w:p w:rsidR="00B83890" w:rsidRDefault="00B83890" w:rsidP="006E6DC8">
            <w:pPr>
              <w:jc w:val="right"/>
              <w:rPr>
                <w:b/>
                <w:i/>
                <w:sz w:val="18"/>
                <w:lang w:val="en-GB"/>
              </w:rPr>
            </w:pPr>
            <w:r>
              <w:rPr>
                <w:b/>
                <w:lang w:val="en-GB"/>
              </w:rPr>
              <w:t>2013</w:t>
            </w:r>
          </w:p>
        </w:tc>
        <w:tc>
          <w:tcPr>
            <w:tcW w:w="1417" w:type="dxa"/>
          </w:tcPr>
          <w:p w:rsidR="00B83890" w:rsidRDefault="00B83890" w:rsidP="006E6DC8">
            <w:pPr>
              <w:jc w:val="right"/>
              <w:rPr>
                <w:b/>
                <w:i/>
                <w:sz w:val="18"/>
                <w:lang w:val="en-GB"/>
              </w:rPr>
            </w:pPr>
            <w:r>
              <w:rPr>
                <w:b/>
                <w:lang w:val="en-GB"/>
              </w:rPr>
              <w:t>2012</w:t>
            </w:r>
          </w:p>
        </w:tc>
      </w:tr>
      <w:tr w:rsidR="00B83890" w:rsidRPr="00881CAB" w:rsidTr="006E6DC8">
        <w:trPr>
          <w:cantSplit/>
          <w:trHeight w:val="109"/>
        </w:trPr>
        <w:tc>
          <w:tcPr>
            <w:tcW w:w="7827" w:type="dxa"/>
            <w:gridSpan w:val="3"/>
            <w:vAlign w:val="center"/>
          </w:tcPr>
          <w:p w:rsidR="00B83890" w:rsidRPr="00881CAB" w:rsidRDefault="00B83890" w:rsidP="006E6DC8">
            <w:pPr>
              <w:jc w:val="right"/>
              <w:rPr>
                <w:b/>
                <w:lang w:val="en-GB"/>
              </w:rPr>
            </w:pPr>
            <w:r w:rsidRPr="00881CAB">
              <w:rPr>
                <w:b/>
                <w:lang w:val="en-GB"/>
              </w:rPr>
              <w:t>$’000</w:t>
            </w:r>
          </w:p>
        </w:tc>
        <w:tc>
          <w:tcPr>
            <w:tcW w:w="1417" w:type="dxa"/>
            <w:vAlign w:val="center"/>
          </w:tcPr>
          <w:p w:rsidR="00B83890" w:rsidRPr="00881CAB" w:rsidRDefault="00B83890" w:rsidP="006E6DC8">
            <w:pPr>
              <w:jc w:val="right"/>
              <w:rPr>
                <w:b/>
                <w:lang w:val="en-GB"/>
              </w:rPr>
            </w:pPr>
            <w:r w:rsidRPr="00881CAB">
              <w:rPr>
                <w:b/>
                <w:lang w:val="en-GB"/>
              </w:rPr>
              <w:t>$’000</w:t>
            </w:r>
          </w:p>
        </w:tc>
      </w:tr>
      <w:tr w:rsidR="00B83890" w:rsidTr="006E6DC8">
        <w:tblPrEx>
          <w:tblCellMar>
            <w:left w:w="31" w:type="dxa"/>
            <w:right w:w="31" w:type="dxa"/>
          </w:tblCellMar>
        </w:tblPrEx>
        <w:trPr>
          <w:cantSplit/>
          <w:trHeight w:val="255"/>
        </w:trPr>
        <w:tc>
          <w:tcPr>
            <w:tcW w:w="4851" w:type="dxa"/>
            <w:vAlign w:val="center"/>
          </w:tcPr>
          <w:p w:rsidR="00B83890" w:rsidRPr="000056DE" w:rsidRDefault="00B83890" w:rsidP="006E6DC8">
            <w:pPr>
              <w:tabs>
                <w:tab w:val="left" w:pos="709"/>
              </w:tabs>
              <w:rPr>
                <w:b/>
                <w:color w:val="000000"/>
                <w:lang w:val="en-GB"/>
              </w:rPr>
            </w:pPr>
            <w:r>
              <w:rPr>
                <w:b/>
                <w:color w:val="000000"/>
                <w:lang w:val="en-GB"/>
              </w:rPr>
              <w:tab/>
            </w:r>
            <w:r w:rsidRPr="000056DE">
              <w:rPr>
                <w:b/>
                <w:color w:val="000000"/>
                <w:lang w:val="en-GB"/>
              </w:rPr>
              <w:t>Current</w:t>
            </w:r>
            <w:r>
              <w:rPr>
                <w:b/>
                <w:color w:val="000000"/>
                <w:lang w:val="en-GB"/>
              </w:rPr>
              <w:t xml:space="preserve"> </w:t>
            </w:r>
          </w:p>
        </w:tc>
        <w:tc>
          <w:tcPr>
            <w:tcW w:w="850" w:type="dxa"/>
            <w:vAlign w:val="center"/>
          </w:tcPr>
          <w:p w:rsidR="00B83890" w:rsidRDefault="00B83890" w:rsidP="006E6DC8">
            <w:pPr>
              <w:jc w:val="right"/>
              <w:rPr>
                <w:color w:val="000000"/>
                <w:lang w:val="en-GB"/>
              </w:rPr>
            </w:pPr>
          </w:p>
        </w:tc>
        <w:tc>
          <w:tcPr>
            <w:tcW w:w="2127" w:type="dxa"/>
            <w:vAlign w:val="center"/>
          </w:tcPr>
          <w:p w:rsidR="00B83890" w:rsidRDefault="00B83890" w:rsidP="006E6DC8">
            <w:pPr>
              <w:jc w:val="right"/>
              <w:rPr>
                <w:b/>
                <w:i/>
                <w:sz w:val="18"/>
                <w:lang w:val="en-GB"/>
              </w:rPr>
            </w:pPr>
          </w:p>
        </w:tc>
        <w:tc>
          <w:tcPr>
            <w:tcW w:w="1417" w:type="dxa"/>
            <w:vAlign w:val="center"/>
          </w:tcPr>
          <w:p w:rsidR="00B83890" w:rsidRDefault="00B83890" w:rsidP="006E6DC8">
            <w:pPr>
              <w:jc w:val="right"/>
              <w:rPr>
                <w:b/>
                <w:i/>
                <w:lang w:val="en-GB"/>
              </w:rPr>
            </w:pPr>
          </w:p>
        </w:tc>
      </w:tr>
      <w:tr w:rsidR="00B83890" w:rsidTr="006E6DC8">
        <w:tblPrEx>
          <w:tblCellMar>
            <w:left w:w="31" w:type="dxa"/>
            <w:right w:w="31" w:type="dxa"/>
          </w:tblCellMar>
        </w:tblPrEx>
        <w:trPr>
          <w:cantSplit/>
          <w:trHeight w:val="255"/>
        </w:trPr>
        <w:tc>
          <w:tcPr>
            <w:tcW w:w="4851" w:type="dxa"/>
            <w:vAlign w:val="center"/>
          </w:tcPr>
          <w:p w:rsidR="00B83890" w:rsidRDefault="00B83890" w:rsidP="006E6DC8">
            <w:pPr>
              <w:tabs>
                <w:tab w:val="left" w:pos="709"/>
              </w:tabs>
              <w:rPr>
                <w:b/>
                <w:color w:val="000000"/>
                <w:lang w:val="en-GB"/>
              </w:rPr>
            </w:pPr>
            <w:r>
              <w:rPr>
                <w:b/>
                <w:color w:val="000000"/>
                <w:lang w:val="en-GB"/>
              </w:rPr>
              <w:tab/>
              <w:t>Contractual</w:t>
            </w:r>
          </w:p>
        </w:tc>
        <w:tc>
          <w:tcPr>
            <w:tcW w:w="850" w:type="dxa"/>
            <w:vAlign w:val="center"/>
          </w:tcPr>
          <w:p w:rsidR="00B83890" w:rsidRDefault="00B83890" w:rsidP="006E6DC8">
            <w:pPr>
              <w:jc w:val="right"/>
              <w:rPr>
                <w:color w:val="000000"/>
                <w:lang w:val="en-GB"/>
              </w:rPr>
            </w:pPr>
          </w:p>
        </w:tc>
        <w:tc>
          <w:tcPr>
            <w:tcW w:w="2127" w:type="dxa"/>
            <w:vAlign w:val="center"/>
          </w:tcPr>
          <w:p w:rsidR="00B83890" w:rsidRDefault="00B83890" w:rsidP="006E6DC8">
            <w:pPr>
              <w:jc w:val="right"/>
              <w:rPr>
                <w:b/>
                <w:i/>
                <w:sz w:val="18"/>
                <w:lang w:val="en-GB"/>
              </w:rPr>
            </w:pPr>
          </w:p>
        </w:tc>
        <w:tc>
          <w:tcPr>
            <w:tcW w:w="1417" w:type="dxa"/>
            <w:vAlign w:val="center"/>
          </w:tcPr>
          <w:p w:rsidR="00B83890" w:rsidRDefault="00B83890" w:rsidP="006E6DC8">
            <w:pPr>
              <w:jc w:val="right"/>
              <w:rPr>
                <w:b/>
                <w:i/>
                <w:lang w:val="en-GB"/>
              </w:rPr>
            </w:pPr>
          </w:p>
        </w:tc>
      </w:tr>
      <w:tr w:rsidR="00B83890" w:rsidTr="006E6DC8">
        <w:tblPrEx>
          <w:tblCellMar>
            <w:left w:w="31" w:type="dxa"/>
            <w:right w:w="31" w:type="dxa"/>
          </w:tblCellMar>
        </w:tblPrEx>
        <w:trPr>
          <w:cantSplit/>
          <w:trHeight w:val="255"/>
        </w:trPr>
        <w:tc>
          <w:tcPr>
            <w:tcW w:w="4851" w:type="dxa"/>
            <w:vAlign w:val="center"/>
          </w:tcPr>
          <w:p w:rsidR="00B83890" w:rsidRDefault="00B83890" w:rsidP="006E6DC8">
            <w:pPr>
              <w:ind w:left="720" w:hanging="11"/>
              <w:rPr>
                <w:color w:val="000000"/>
                <w:lang w:val="en-GB"/>
              </w:rPr>
            </w:pPr>
            <w:r>
              <w:rPr>
                <w:color w:val="000000"/>
                <w:lang w:val="en-GB"/>
              </w:rPr>
              <w:t>Debtors</w:t>
            </w:r>
          </w:p>
        </w:tc>
        <w:tc>
          <w:tcPr>
            <w:tcW w:w="850" w:type="dxa"/>
            <w:vAlign w:val="center"/>
          </w:tcPr>
          <w:p w:rsidR="00B83890" w:rsidRDefault="00B83890" w:rsidP="006E6DC8">
            <w:pPr>
              <w:jc w:val="right"/>
              <w:rPr>
                <w:color w:val="000000"/>
                <w:lang w:val="en-GB"/>
              </w:rPr>
            </w:pPr>
          </w:p>
        </w:tc>
        <w:tc>
          <w:tcPr>
            <w:tcW w:w="2127" w:type="dxa"/>
            <w:vAlign w:val="center"/>
          </w:tcPr>
          <w:p w:rsidR="00B83890" w:rsidRDefault="00B83890" w:rsidP="006E6DC8">
            <w:pPr>
              <w:jc w:val="right"/>
              <w:rPr>
                <w:color w:val="000000"/>
                <w:lang w:val="en-GB"/>
              </w:rPr>
            </w:pPr>
            <w:r>
              <w:rPr>
                <w:color w:val="000000"/>
                <w:lang w:val="en-GB"/>
              </w:rPr>
              <w:t>1,519</w:t>
            </w:r>
          </w:p>
        </w:tc>
        <w:tc>
          <w:tcPr>
            <w:tcW w:w="1417" w:type="dxa"/>
            <w:vAlign w:val="center"/>
          </w:tcPr>
          <w:p w:rsidR="00B83890" w:rsidRDefault="00B83890" w:rsidP="006E6DC8">
            <w:pPr>
              <w:jc w:val="right"/>
              <w:rPr>
                <w:color w:val="000000"/>
                <w:lang w:val="en-GB"/>
              </w:rPr>
            </w:pPr>
            <w:r>
              <w:rPr>
                <w:color w:val="000000"/>
                <w:lang w:val="en-GB"/>
              </w:rPr>
              <w:t>2,446</w:t>
            </w:r>
          </w:p>
        </w:tc>
      </w:tr>
      <w:tr w:rsidR="00B83890" w:rsidTr="006E6DC8">
        <w:tblPrEx>
          <w:tblCellMar>
            <w:left w:w="31" w:type="dxa"/>
            <w:right w:w="31" w:type="dxa"/>
          </w:tblCellMar>
        </w:tblPrEx>
        <w:trPr>
          <w:cantSplit/>
          <w:trHeight w:val="255"/>
        </w:trPr>
        <w:tc>
          <w:tcPr>
            <w:tcW w:w="4851" w:type="dxa"/>
            <w:tcBorders>
              <w:bottom w:val="single" w:sz="6" w:space="0" w:color="auto"/>
            </w:tcBorders>
            <w:vAlign w:val="center"/>
          </w:tcPr>
          <w:p w:rsidR="00B83890" w:rsidRDefault="00B83890" w:rsidP="006E6DC8">
            <w:pPr>
              <w:ind w:left="720" w:hanging="11"/>
              <w:rPr>
                <w:color w:val="000000"/>
                <w:lang w:val="en-GB"/>
              </w:rPr>
            </w:pPr>
            <w:r>
              <w:rPr>
                <w:color w:val="000000"/>
                <w:lang w:val="en-GB"/>
              </w:rPr>
              <w:t>Less Provision for Doubtful Debts</w:t>
            </w:r>
          </w:p>
        </w:tc>
        <w:tc>
          <w:tcPr>
            <w:tcW w:w="850" w:type="dxa"/>
            <w:tcBorders>
              <w:bottom w:val="single" w:sz="6" w:space="0" w:color="auto"/>
            </w:tcBorders>
            <w:vAlign w:val="center"/>
          </w:tcPr>
          <w:p w:rsidR="00B83890" w:rsidRDefault="00B83890" w:rsidP="006E6DC8">
            <w:pPr>
              <w:jc w:val="right"/>
              <w:rPr>
                <w:color w:val="000000"/>
                <w:lang w:val="en-GB"/>
              </w:rPr>
            </w:pPr>
          </w:p>
        </w:tc>
        <w:tc>
          <w:tcPr>
            <w:tcW w:w="2127" w:type="dxa"/>
            <w:tcBorders>
              <w:bottom w:val="single" w:sz="6" w:space="0" w:color="auto"/>
            </w:tcBorders>
            <w:vAlign w:val="center"/>
          </w:tcPr>
          <w:p w:rsidR="00B83890" w:rsidRDefault="00B83890" w:rsidP="006E6DC8">
            <w:pPr>
              <w:jc w:val="right"/>
              <w:rPr>
                <w:lang w:val="en-GB"/>
              </w:rPr>
            </w:pPr>
            <w:r>
              <w:rPr>
                <w:lang w:val="en-GB"/>
              </w:rPr>
              <w:t>0</w:t>
            </w:r>
          </w:p>
        </w:tc>
        <w:tc>
          <w:tcPr>
            <w:tcW w:w="1417" w:type="dxa"/>
            <w:tcBorders>
              <w:bottom w:val="single" w:sz="6" w:space="0" w:color="auto"/>
            </w:tcBorders>
            <w:vAlign w:val="center"/>
          </w:tcPr>
          <w:p w:rsidR="00B83890" w:rsidRDefault="00B83890" w:rsidP="006E6DC8">
            <w:pPr>
              <w:jc w:val="right"/>
              <w:rPr>
                <w:lang w:val="en-GB"/>
              </w:rPr>
            </w:pPr>
            <w:r>
              <w:rPr>
                <w:lang w:val="en-GB"/>
              </w:rPr>
              <w:t>0</w:t>
            </w:r>
          </w:p>
        </w:tc>
      </w:tr>
      <w:tr w:rsidR="00B83890" w:rsidTr="006E6DC8">
        <w:tblPrEx>
          <w:tblCellMar>
            <w:left w:w="31" w:type="dxa"/>
            <w:right w:w="31" w:type="dxa"/>
          </w:tblCellMar>
        </w:tblPrEx>
        <w:trPr>
          <w:cantSplit/>
          <w:trHeight w:val="255"/>
        </w:trPr>
        <w:tc>
          <w:tcPr>
            <w:tcW w:w="4851" w:type="dxa"/>
            <w:tcBorders>
              <w:top w:val="single" w:sz="6" w:space="0" w:color="auto"/>
            </w:tcBorders>
            <w:vAlign w:val="center"/>
          </w:tcPr>
          <w:p w:rsidR="00B83890" w:rsidRDefault="00B83890" w:rsidP="006E6DC8">
            <w:pPr>
              <w:ind w:hanging="11"/>
              <w:rPr>
                <w:b/>
                <w:color w:val="000000"/>
                <w:lang w:val="en-GB"/>
              </w:rPr>
            </w:pPr>
            <w:r>
              <w:rPr>
                <w:b/>
                <w:color w:val="000000"/>
                <w:lang w:val="en-GB"/>
              </w:rPr>
              <w:t>SUBTOTAL</w:t>
            </w:r>
          </w:p>
        </w:tc>
        <w:tc>
          <w:tcPr>
            <w:tcW w:w="850" w:type="dxa"/>
            <w:tcBorders>
              <w:top w:val="single" w:sz="6" w:space="0" w:color="auto"/>
            </w:tcBorders>
            <w:vAlign w:val="center"/>
          </w:tcPr>
          <w:p w:rsidR="00B83890" w:rsidRDefault="00B83890" w:rsidP="006E6DC8">
            <w:pPr>
              <w:jc w:val="right"/>
              <w:rPr>
                <w:color w:val="000000"/>
                <w:lang w:val="en-GB"/>
              </w:rPr>
            </w:pPr>
          </w:p>
        </w:tc>
        <w:tc>
          <w:tcPr>
            <w:tcW w:w="2127" w:type="dxa"/>
            <w:tcBorders>
              <w:top w:val="single" w:sz="6" w:space="0" w:color="auto"/>
            </w:tcBorders>
            <w:vAlign w:val="center"/>
          </w:tcPr>
          <w:p w:rsidR="00B83890" w:rsidRPr="005E3128" w:rsidRDefault="00B83890" w:rsidP="006E6DC8">
            <w:pPr>
              <w:jc w:val="right"/>
              <w:rPr>
                <w:color w:val="000000"/>
                <w:lang w:val="en-GB"/>
              </w:rPr>
            </w:pPr>
            <w:r>
              <w:rPr>
                <w:color w:val="000000"/>
                <w:lang w:val="en-GB"/>
              </w:rPr>
              <w:t>1,519</w:t>
            </w:r>
          </w:p>
        </w:tc>
        <w:tc>
          <w:tcPr>
            <w:tcW w:w="1417" w:type="dxa"/>
            <w:tcBorders>
              <w:top w:val="single" w:sz="6" w:space="0" w:color="auto"/>
            </w:tcBorders>
            <w:vAlign w:val="center"/>
          </w:tcPr>
          <w:p w:rsidR="00B83890" w:rsidRPr="005E3128" w:rsidRDefault="00B83890" w:rsidP="006E6DC8">
            <w:pPr>
              <w:jc w:val="right"/>
              <w:rPr>
                <w:color w:val="000000"/>
                <w:lang w:val="en-GB"/>
              </w:rPr>
            </w:pPr>
            <w:r>
              <w:rPr>
                <w:color w:val="000000"/>
                <w:lang w:val="en-GB"/>
              </w:rPr>
              <w:t>2,446</w:t>
            </w:r>
          </w:p>
        </w:tc>
      </w:tr>
      <w:tr w:rsidR="00B83890" w:rsidTr="006E6DC8">
        <w:tblPrEx>
          <w:tblCellMar>
            <w:left w:w="31" w:type="dxa"/>
            <w:right w:w="31" w:type="dxa"/>
          </w:tblCellMar>
        </w:tblPrEx>
        <w:trPr>
          <w:cantSplit/>
          <w:trHeight w:val="308"/>
        </w:trPr>
        <w:tc>
          <w:tcPr>
            <w:tcW w:w="4851" w:type="dxa"/>
            <w:vAlign w:val="center"/>
          </w:tcPr>
          <w:p w:rsidR="00B83890" w:rsidRDefault="00B83890" w:rsidP="006E6DC8">
            <w:pPr>
              <w:ind w:left="720" w:hanging="11"/>
              <w:rPr>
                <w:color w:val="000000"/>
                <w:lang w:val="en-GB"/>
              </w:rPr>
            </w:pPr>
          </w:p>
        </w:tc>
        <w:tc>
          <w:tcPr>
            <w:tcW w:w="850" w:type="dxa"/>
            <w:vAlign w:val="center"/>
          </w:tcPr>
          <w:p w:rsidR="00B83890" w:rsidRDefault="00B83890" w:rsidP="006E6DC8">
            <w:pPr>
              <w:jc w:val="right"/>
              <w:rPr>
                <w:color w:val="000000"/>
                <w:lang w:val="en-GB"/>
              </w:rPr>
            </w:pPr>
          </w:p>
        </w:tc>
        <w:tc>
          <w:tcPr>
            <w:tcW w:w="2127" w:type="dxa"/>
            <w:vAlign w:val="center"/>
          </w:tcPr>
          <w:p w:rsidR="00B83890" w:rsidRDefault="00B83890" w:rsidP="006E6DC8">
            <w:pPr>
              <w:jc w:val="right"/>
              <w:rPr>
                <w:lang w:val="en-GB"/>
              </w:rPr>
            </w:pPr>
          </w:p>
        </w:tc>
        <w:tc>
          <w:tcPr>
            <w:tcW w:w="1417" w:type="dxa"/>
            <w:vAlign w:val="center"/>
          </w:tcPr>
          <w:p w:rsidR="00B83890" w:rsidRDefault="00B83890" w:rsidP="006E6DC8">
            <w:pPr>
              <w:jc w:val="right"/>
              <w:rPr>
                <w:lang w:val="en-GB"/>
              </w:rPr>
            </w:pPr>
          </w:p>
        </w:tc>
      </w:tr>
      <w:tr w:rsidR="00B83890" w:rsidTr="006E6DC8">
        <w:tblPrEx>
          <w:tblCellMar>
            <w:left w:w="31" w:type="dxa"/>
            <w:right w:w="31" w:type="dxa"/>
          </w:tblCellMar>
        </w:tblPrEx>
        <w:trPr>
          <w:cantSplit/>
          <w:trHeight w:val="255"/>
        </w:trPr>
        <w:tc>
          <w:tcPr>
            <w:tcW w:w="4851" w:type="dxa"/>
            <w:vAlign w:val="center"/>
          </w:tcPr>
          <w:p w:rsidR="00B83890" w:rsidRDefault="00B83890" w:rsidP="006E6DC8">
            <w:pPr>
              <w:ind w:left="720" w:hanging="11"/>
              <w:rPr>
                <w:color w:val="000000"/>
                <w:lang w:val="en-GB"/>
              </w:rPr>
            </w:pPr>
            <w:r w:rsidRPr="008F09DA">
              <w:rPr>
                <w:color w:val="000000"/>
                <w:lang w:val="en-GB"/>
              </w:rPr>
              <w:t>Interest Receivable</w:t>
            </w:r>
          </w:p>
        </w:tc>
        <w:tc>
          <w:tcPr>
            <w:tcW w:w="850" w:type="dxa"/>
            <w:vAlign w:val="center"/>
          </w:tcPr>
          <w:p w:rsidR="00B83890" w:rsidRDefault="00B83890" w:rsidP="006E6DC8">
            <w:pPr>
              <w:jc w:val="right"/>
              <w:rPr>
                <w:color w:val="000000"/>
                <w:lang w:val="en-GB"/>
              </w:rPr>
            </w:pPr>
          </w:p>
        </w:tc>
        <w:tc>
          <w:tcPr>
            <w:tcW w:w="2127" w:type="dxa"/>
            <w:vAlign w:val="center"/>
          </w:tcPr>
          <w:p w:rsidR="00B83890" w:rsidRDefault="00B83890" w:rsidP="006E6DC8">
            <w:pPr>
              <w:jc w:val="right"/>
              <w:rPr>
                <w:lang w:val="en-GB"/>
              </w:rPr>
            </w:pPr>
            <w:r>
              <w:rPr>
                <w:lang w:val="en-GB"/>
              </w:rPr>
              <w:t>128</w:t>
            </w:r>
          </w:p>
        </w:tc>
        <w:tc>
          <w:tcPr>
            <w:tcW w:w="1417" w:type="dxa"/>
            <w:vAlign w:val="center"/>
          </w:tcPr>
          <w:p w:rsidR="00B83890" w:rsidRDefault="00B83890" w:rsidP="006E6DC8">
            <w:pPr>
              <w:jc w:val="right"/>
              <w:rPr>
                <w:lang w:val="en-GB"/>
              </w:rPr>
            </w:pPr>
            <w:r>
              <w:rPr>
                <w:lang w:val="en-GB"/>
              </w:rPr>
              <w:t>161</w:t>
            </w:r>
          </w:p>
        </w:tc>
      </w:tr>
      <w:tr w:rsidR="00B83890" w:rsidTr="006E6DC8">
        <w:tblPrEx>
          <w:tblCellMar>
            <w:left w:w="31" w:type="dxa"/>
            <w:right w:w="31" w:type="dxa"/>
          </w:tblCellMar>
        </w:tblPrEx>
        <w:trPr>
          <w:cantSplit/>
          <w:trHeight w:val="255"/>
        </w:trPr>
        <w:tc>
          <w:tcPr>
            <w:tcW w:w="4851" w:type="dxa"/>
            <w:tcBorders>
              <w:top w:val="single" w:sz="6" w:space="0" w:color="auto"/>
            </w:tcBorders>
            <w:vAlign w:val="center"/>
          </w:tcPr>
          <w:p w:rsidR="00B83890" w:rsidRDefault="00B83890" w:rsidP="006E6DC8">
            <w:pPr>
              <w:rPr>
                <w:b/>
                <w:color w:val="000000"/>
                <w:lang w:val="en-GB"/>
              </w:rPr>
            </w:pPr>
            <w:r>
              <w:rPr>
                <w:b/>
                <w:color w:val="000000"/>
                <w:lang w:val="en-GB"/>
              </w:rPr>
              <w:t>SUBTOTAL</w:t>
            </w:r>
          </w:p>
        </w:tc>
        <w:tc>
          <w:tcPr>
            <w:tcW w:w="850" w:type="dxa"/>
            <w:tcBorders>
              <w:top w:val="single" w:sz="6" w:space="0" w:color="auto"/>
            </w:tcBorders>
            <w:vAlign w:val="center"/>
          </w:tcPr>
          <w:p w:rsidR="00B83890" w:rsidRDefault="00B83890" w:rsidP="006E6DC8">
            <w:pPr>
              <w:rPr>
                <w:b/>
                <w:color w:val="000000"/>
                <w:lang w:val="en-GB"/>
              </w:rPr>
            </w:pPr>
          </w:p>
        </w:tc>
        <w:tc>
          <w:tcPr>
            <w:tcW w:w="2127" w:type="dxa"/>
            <w:tcBorders>
              <w:top w:val="single" w:sz="6" w:space="0" w:color="auto"/>
            </w:tcBorders>
            <w:vAlign w:val="center"/>
          </w:tcPr>
          <w:p w:rsidR="00B83890" w:rsidRDefault="00B83890" w:rsidP="006E6DC8">
            <w:pPr>
              <w:jc w:val="right"/>
              <w:rPr>
                <w:b/>
                <w:color w:val="000000"/>
                <w:lang w:val="en-GB"/>
              </w:rPr>
            </w:pPr>
            <w:r>
              <w:rPr>
                <w:b/>
                <w:color w:val="000000"/>
                <w:lang w:val="en-GB"/>
              </w:rPr>
              <w:t>1,647</w:t>
            </w:r>
          </w:p>
        </w:tc>
        <w:tc>
          <w:tcPr>
            <w:tcW w:w="1417" w:type="dxa"/>
            <w:tcBorders>
              <w:top w:val="single" w:sz="6" w:space="0" w:color="auto"/>
            </w:tcBorders>
            <w:vAlign w:val="center"/>
          </w:tcPr>
          <w:p w:rsidR="00B83890" w:rsidRDefault="00B83890" w:rsidP="006E6DC8">
            <w:pPr>
              <w:jc w:val="right"/>
              <w:rPr>
                <w:b/>
                <w:color w:val="000000"/>
                <w:lang w:val="en-GB"/>
              </w:rPr>
            </w:pPr>
            <w:r>
              <w:rPr>
                <w:b/>
                <w:color w:val="000000"/>
                <w:lang w:val="en-GB"/>
              </w:rPr>
              <w:t>2,607</w:t>
            </w:r>
          </w:p>
        </w:tc>
      </w:tr>
      <w:tr w:rsidR="00B83890" w:rsidTr="006E6DC8">
        <w:tblPrEx>
          <w:tblCellMar>
            <w:left w:w="31" w:type="dxa"/>
            <w:right w:w="31" w:type="dxa"/>
          </w:tblCellMar>
        </w:tblPrEx>
        <w:trPr>
          <w:cantSplit/>
          <w:trHeight w:val="255"/>
        </w:trPr>
        <w:tc>
          <w:tcPr>
            <w:tcW w:w="4851" w:type="dxa"/>
            <w:vAlign w:val="center"/>
          </w:tcPr>
          <w:p w:rsidR="00B83890" w:rsidRDefault="00B83890" w:rsidP="006E6DC8">
            <w:pPr>
              <w:rPr>
                <w:b/>
                <w:color w:val="000000"/>
                <w:lang w:val="en-GB"/>
              </w:rPr>
            </w:pPr>
          </w:p>
        </w:tc>
        <w:tc>
          <w:tcPr>
            <w:tcW w:w="850" w:type="dxa"/>
            <w:vAlign w:val="center"/>
          </w:tcPr>
          <w:p w:rsidR="00B83890" w:rsidRDefault="00B83890" w:rsidP="006E6DC8">
            <w:pPr>
              <w:rPr>
                <w:b/>
                <w:color w:val="000000"/>
                <w:lang w:val="en-GB"/>
              </w:rPr>
            </w:pPr>
          </w:p>
        </w:tc>
        <w:tc>
          <w:tcPr>
            <w:tcW w:w="2127" w:type="dxa"/>
            <w:vAlign w:val="center"/>
          </w:tcPr>
          <w:p w:rsidR="00B83890" w:rsidRDefault="00B83890" w:rsidP="006E6DC8">
            <w:pPr>
              <w:jc w:val="right"/>
              <w:rPr>
                <w:b/>
                <w:color w:val="000000"/>
                <w:lang w:val="en-GB"/>
              </w:rPr>
            </w:pPr>
          </w:p>
        </w:tc>
        <w:tc>
          <w:tcPr>
            <w:tcW w:w="1417" w:type="dxa"/>
            <w:vAlign w:val="center"/>
          </w:tcPr>
          <w:p w:rsidR="00B83890" w:rsidRDefault="00B83890" w:rsidP="006E6DC8">
            <w:pPr>
              <w:jc w:val="right"/>
              <w:rPr>
                <w:b/>
                <w:color w:val="000000"/>
                <w:lang w:val="en-GB"/>
              </w:rPr>
            </w:pPr>
          </w:p>
        </w:tc>
      </w:tr>
      <w:tr w:rsidR="00B83890" w:rsidTr="006E6DC8">
        <w:tblPrEx>
          <w:tblCellMar>
            <w:left w:w="31" w:type="dxa"/>
            <w:right w:w="31" w:type="dxa"/>
          </w:tblCellMar>
        </w:tblPrEx>
        <w:trPr>
          <w:cantSplit/>
          <w:trHeight w:val="255"/>
        </w:trPr>
        <w:tc>
          <w:tcPr>
            <w:tcW w:w="4851" w:type="dxa"/>
            <w:vAlign w:val="center"/>
          </w:tcPr>
          <w:p w:rsidR="00B83890" w:rsidRDefault="00B83890" w:rsidP="00751664">
            <w:pPr>
              <w:ind w:left="709"/>
              <w:rPr>
                <w:b/>
                <w:color w:val="000000"/>
                <w:lang w:val="en-GB"/>
              </w:rPr>
            </w:pPr>
            <w:r>
              <w:rPr>
                <w:b/>
                <w:color w:val="000000"/>
                <w:lang w:val="en-GB"/>
              </w:rPr>
              <w:t xml:space="preserve"> Statutory</w:t>
            </w:r>
          </w:p>
        </w:tc>
        <w:tc>
          <w:tcPr>
            <w:tcW w:w="850" w:type="dxa"/>
            <w:vAlign w:val="center"/>
          </w:tcPr>
          <w:p w:rsidR="00B83890" w:rsidRDefault="00B83890" w:rsidP="006E6DC8">
            <w:pPr>
              <w:rPr>
                <w:b/>
                <w:color w:val="000000"/>
                <w:lang w:val="en-GB"/>
              </w:rPr>
            </w:pPr>
          </w:p>
        </w:tc>
        <w:tc>
          <w:tcPr>
            <w:tcW w:w="2127" w:type="dxa"/>
            <w:vAlign w:val="center"/>
          </w:tcPr>
          <w:p w:rsidR="00B83890" w:rsidRDefault="00B83890" w:rsidP="006E6DC8">
            <w:pPr>
              <w:jc w:val="right"/>
              <w:rPr>
                <w:b/>
                <w:color w:val="000000"/>
                <w:lang w:val="en-GB"/>
              </w:rPr>
            </w:pPr>
          </w:p>
        </w:tc>
        <w:tc>
          <w:tcPr>
            <w:tcW w:w="1417" w:type="dxa"/>
            <w:vAlign w:val="center"/>
          </w:tcPr>
          <w:p w:rsidR="00B83890" w:rsidRDefault="00B83890" w:rsidP="006E6DC8">
            <w:pPr>
              <w:jc w:val="right"/>
              <w:rPr>
                <w:b/>
                <w:color w:val="000000"/>
                <w:lang w:val="en-GB"/>
              </w:rPr>
            </w:pPr>
          </w:p>
        </w:tc>
      </w:tr>
      <w:tr w:rsidR="00B83890" w:rsidTr="006E6DC8">
        <w:tblPrEx>
          <w:tblCellMar>
            <w:left w:w="31" w:type="dxa"/>
            <w:right w:w="31" w:type="dxa"/>
          </w:tblCellMar>
        </w:tblPrEx>
        <w:trPr>
          <w:cantSplit/>
          <w:trHeight w:val="255"/>
        </w:trPr>
        <w:tc>
          <w:tcPr>
            <w:tcW w:w="4851" w:type="dxa"/>
            <w:vAlign w:val="center"/>
          </w:tcPr>
          <w:p w:rsidR="00B83890" w:rsidRPr="002A2BEE" w:rsidRDefault="00B83890" w:rsidP="00751664">
            <w:pPr>
              <w:ind w:left="709"/>
              <w:rPr>
                <w:color w:val="000000"/>
                <w:lang w:val="en-GB"/>
              </w:rPr>
            </w:pPr>
            <w:r w:rsidRPr="002A2BEE">
              <w:rPr>
                <w:color w:val="000000"/>
                <w:lang w:val="en-GB"/>
              </w:rPr>
              <w:t>GST input tax recoverable</w:t>
            </w:r>
          </w:p>
        </w:tc>
        <w:tc>
          <w:tcPr>
            <w:tcW w:w="850" w:type="dxa"/>
            <w:vAlign w:val="center"/>
          </w:tcPr>
          <w:p w:rsidR="00B83890" w:rsidRDefault="00B83890" w:rsidP="006E6DC8">
            <w:pPr>
              <w:jc w:val="right"/>
              <w:rPr>
                <w:color w:val="000000"/>
                <w:lang w:val="en-GB"/>
              </w:rPr>
            </w:pPr>
          </w:p>
        </w:tc>
        <w:tc>
          <w:tcPr>
            <w:tcW w:w="2127" w:type="dxa"/>
            <w:vAlign w:val="center"/>
          </w:tcPr>
          <w:p w:rsidR="00B83890" w:rsidRPr="00CF4484" w:rsidRDefault="00B83890" w:rsidP="006E6DC8">
            <w:pPr>
              <w:jc w:val="right"/>
              <w:rPr>
                <w:lang w:val="en-GB"/>
              </w:rPr>
            </w:pPr>
            <w:r>
              <w:rPr>
                <w:lang w:val="en-GB"/>
              </w:rPr>
              <w:t>246</w:t>
            </w:r>
          </w:p>
        </w:tc>
        <w:tc>
          <w:tcPr>
            <w:tcW w:w="1417" w:type="dxa"/>
            <w:vAlign w:val="center"/>
          </w:tcPr>
          <w:p w:rsidR="00B83890" w:rsidRPr="00CF4484" w:rsidRDefault="00B83890" w:rsidP="006E6DC8">
            <w:pPr>
              <w:jc w:val="right"/>
              <w:rPr>
                <w:lang w:val="en-GB"/>
              </w:rPr>
            </w:pPr>
            <w:r>
              <w:rPr>
                <w:lang w:val="en-GB"/>
              </w:rPr>
              <w:t>222</w:t>
            </w:r>
          </w:p>
        </w:tc>
      </w:tr>
      <w:tr w:rsidR="00B83890" w:rsidRPr="00425E78" w:rsidTr="006E6DC8">
        <w:tblPrEx>
          <w:tblCellMar>
            <w:left w:w="31" w:type="dxa"/>
            <w:right w:w="31" w:type="dxa"/>
          </w:tblCellMar>
        </w:tblPrEx>
        <w:trPr>
          <w:cantSplit/>
          <w:trHeight w:val="206"/>
        </w:trPr>
        <w:tc>
          <w:tcPr>
            <w:tcW w:w="4851" w:type="dxa"/>
            <w:tcBorders>
              <w:top w:val="single" w:sz="4" w:space="0" w:color="auto"/>
              <w:bottom w:val="double" w:sz="4" w:space="0" w:color="auto"/>
            </w:tcBorders>
          </w:tcPr>
          <w:p w:rsidR="00B83890" w:rsidRDefault="00B83890" w:rsidP="006E6DC8">
            <w:pPr>
              <w:rPr>
                <w:b/>
                <w:color w:val="000000"/>
                <w:lang w:val="en-GB"/>
              </w:rPr>
            </w:pPr>
            <w:r>
              <w:rPr>
                <w:b/>
                <w:color w:val="000000"/>
                <w:lang w:val="en-GB"/>
              </w:rPr>
              <w:t>TOTAL</w:t>
            </w:r>
          </w:p>
        </w:tc>
        <w:tc>
          <w:tcPr>
            <w:tcW w:w="850" w:type="dxa"/>
            <w:tcBorders>
              <w:top w:val="single" w:sz="4" w:space="0" w:color="auto"/>
              <w:bottom w:val="double" w:sz="4" w:space="0" w:color="auto"/>
            </w:tcBorders>
          </w:tcPr>
          <w:p w:rsidR="00B83890" w:rsidRDefault="00B83890" w:rsidP="006E6DC8">
            <w:pPr>
              <w:jc w:val="right"/>
              <w:rPr>
                <w:color w:val="000000"/>
                <w:lang w:val="en-GB"/>
              </w:rPr>
            </w:pPr>
          </w:p>
        </w:tc>
        <w:tc>
          <w:tcPr>
            <w:tcW w:w="2127" w:type="dxa"/>
            <w:tcBorders>
              <w:top w:val="single" w:sz="4" w:space="0" w:color="auto"/>
              <w:bottom w:val="double" w:sz="4" w:space="0" w:color="auto"/>
            </w:tcBorders>
          </w:tcPr>
          <w:p w:rsidR="00B83890" w:rsidRDefault="00B83890" w:rsidP="006E6DC8">
            <w:pPr>
              <w:jc w:val="right"/>
              <w:rPr>
                <w:b/>
                <w:lang w:val="en-GB"/>
              </w:rPr>
            </w:pPr>
            <w:r>
              <w:rPr>
                <w:b/>
                <w:lang w:val="en-GB"/>
              </w:rPr>
              <w:t>1,893</w:t>
            </w:r>
          </w:p>
        </w:tc>
        <w:tc>
          <w:tcPr>
            <w:tcW w:w="1417" w:type="dxa"/>
            <w:tcBorders>
              <w:top w:val="single" w:sz="4" w:space="0" w:color="auto"/>
              <w:bottom w:val="double" w:sz="4" w:space="0" w:color="auto"/>
            </w:tcBorders>
          </w:tcPr>
          <w:p w:rsidR="00B83890" w:rsidRPr="00125349" w:rsidRDefault="00B83890" w:rsidP="006E6DC8">
            <w:pPr>
              <w:jc w:val="right"/>
              <w:rPr>
                <w:b/>
                <w:lang w:val="en-GB"/>
              </w:rPr>
            </w:pPr>
            <w:r>
              <w:rPr>
                <w:b/>
                <w:lang w:val="en-GB"/>
              </w:rPr>
              <w:t>2,829</w:t>
            </w:r>
          </w:p>
        </w:tc>
      </w:tr>
    </w:tbl>
    <w:p w:rsidR="00B83890" w:rsidRPr="00D605F7" w:rsidRDefault="00B83890" w:rsidP="00B83890">
      <w:pPr>
        <w:pStyle w:val="Heading1"/>
        <w:spacing w:before="120" w:after="120"/>
        <w:jc w:val="center"/>
        <w:rPr>
          <w:sz w:val="22"/>
        </w:rPr>
      </w:pPr>
      <w:r w:rsidRPr="00D605F7">
        <w:rPr>
          <w:sz w:val="22"/>
        </w:rPr>
        <w:t xml:space="preserve"> </w:t>
      </w:r>
    </w:p>
    <w:p w:rsidR="00B83890" w:rsidRDefault="00B83890" w:rsidP="00513943">
      <w:pPr>
        <w:pStyle w:val="Heading3"/>
      </w:pPr>
      <w:r w:rsidRPr="00725CA1">
        <w:t>8.</w:t>
      </w:r>
      <w:r w:rsidRPr="00725CA1">
        <w:tab/>
        <w:t>PREPAYMENTS</w:t>
      </w:r>
    </w:p>
    <w:tbl>
      <w:tblPr>
        <w:tblW w:w="9244" w:type="dxa"/>
        <w:tblLayout w:type="fixed"/>
        <w:tblCellMar>
          <w:left w:w="30" w:type="dxa"/>
          <w:right w:w="30" w:type="dxa"/>
        </w:tblCellMar>
        <w:tblLook w:val="0000" w:firstRow="0" w:lastRow="0" w:firstColumn="0" w:lastColumn="0" w:noHBand="0" w:noVBand="0"/>
        <w:tblCaption w:val="Prepayments"/>
        <w:tblDescription w:val="This table shows Prepayments for 2012–13 with comparison to 2011–12."/>
      </w:tblPr>
      <w:tblGrid>
        <w:gridCol w:w="4371"/>
        <w:gridCol w:w="2115"/>
        <w:gridCol w:w="1270"/>
        <w:gridCol w:w="30"/>
        <w:gridCol w:w="1380"/>
        <w:gridCol w:w="78"/>
      </w:tblGrid>
      <w:tr w:rsidR="00B83890" w:rsidTr="00C427A6">
        <w:trPr>
          <w:trHeight w:val="266"/>
        </w:trPr>
        <w:tc>
          <w:tcPr>
            <w:tcW w:w="7827" w:type="dxa"/>
            <w:gridSpan w:val="4"/>
          </w:tcPr>
          <w:p w:rsidR="00B83890" w:rsidRDefault="00B83890" w:rsidP="006E6DC8">
            <w:pPr>
              <w:jc w:val="right"/>
              <w:rPr>
                <w:b/>
                <w:i/>
                <w:sz w:val="18"/>
                <w:lang w:val="en-GB"/>
              </w:rPr>
            </w:pPr>
            <w:r>
              <w:rPr>
                <w:b/>
                <w:lang w:val="en-GB"/>
              </w:rPr>
              <w:t>2013</w:t>
            </w:r>
          </w:p>
        </w:tc>
        <w:tc>
          <w:tcPr>
            <w:tcW w:w="1417" w:type="dxa"/>
            <w:gridSpan w:val="2"/>
          </w:tcPr>
          <w:p w:rsidR="00B83890" w:rsidRDefault="00B83890" w:rsidP="006E6DC8">
            <w:pPr>
              <w:jc w:val="right"/>
              <w:rPr>
                <w:b/>
                <w:i/>
                <w:sz w:val="18"/>
                <w:lang w:val="en-GB"/>
              </w:rPr>
            </w:pPr>
            <w:r>
              <w:rPr>
                <w:b/>
                <w:lang w:val="en-GB"/>
              </w:rPr>
              <w:t>2012</w:t>
            </w:r>
          </w:p>
        </w:tc>
      </w:tr>
      <w:tr w:rsidR="00B83890" w:rsidRPr="00881CAB" w:rsidTr="00C427A6">
        <w:trPr>
          <w:trHeight w:val="109"/>
        </w:trPr>
        <w:tc>
          <w:tcPr>
            <w:tcW w:w="7827" w:type="dxa"/>
            <w:gridSpan w:val="4"/>
            <w:vAlign w:val="center"/>
          </w:tcPr>
          <w:p w:rsidR="00B83890" w:rsidRPr="00881CAB" w:rsidRDefault="00B83890" w:rsidP="006E6DC8">
            <w:pPr>
              <w:jc w:val="right"/>
              <w:rPr>
                <w:b/>
                <w:lang w:val="en-GB"/>
              </w:rPr>
            </w:pPr>
            <w:r w:rsidRPr="00881CAB">
              <w:rPr>
                <w:b/>
                <w:lang w:val="en-GB"/>
              </w:rPr>
              <w:t>$’000</w:t>
            </w:r>
          </w:p>
        </w:tc>
        <w:tc>
          <w:tcPr>
            <w:tcW w:w="1417" w:type="dxa"/>
            <w:gridSpan w:val="2"/>
            <w:vAlign w:val="center"/>
          </w:tcPr>
          <w:p w:rsidR="00B83890" w:rsidRPr="00881CAB" w:rsidRDefault="00B83890" w:rsidP="006E6DC8">
            <w:pPr>
              <w:jc w:val="right"/>
              <w:rPr>
                <w:b/>
                <w:lang w:val="en-GB"/>
              </w:rPr>
            </w:pPr>
            <w:r w:rsidRPr="00881CAB">
              <w:rPr>
                <w:b/>
                <w:lang w:val="en-GB"/>
              </w:rPr>
              <w:t>$’000</w:t>
            </w:r>
          </w:p>
        </w:tc>
      </w:tr>
      <w:tr w:rsidR="00B83890" w:rsidRPr="00725CA1" w:rsidTr="00C42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8" w:type="dxa"/>
          <w:trHeight w:val="255"/>
        </w:trPr>
        <w:tc>
          <w:tcPr>
            <w:tcW w:w="4395" w:type="dxa"/>
            <w:tcBorders>
              <w:top w:val="nil"/>
              <w:left w:val="nil"/>
              <w:bottom w:val="nil"/>
              <w:right w:val="nil"/>
            </w:tcBorders>
            <w:vAlign w:val="center"/>
          </w:tcPr>
          <w:p w:rsidR="00B83890" w:rsidRPr="00725CA1" w:rsidRDefault="00B83890" w:rsidP="009C0D27">
            <w:pPr>
              <w:ind w:left="631"/>
              <w:rPr>
                <w:b/>
                <w:color w:val="000000"/>
                <w:lang w:val="en-GB"/>
              </w:rPr>
            </w:pPr>
            <w:r w:rsidRPr="00725CA1">
              <w:rPr>
                <w:b/>
                <w:color w:val="000000"/>
                <w:lang w:val="en-GB"/>
              </w:rPr>
              <w:t xml:space="preserve">Current </w:t>
            </w:r>
          </w:p>
        </w:tc>
        <w:tc>
          <w:tcPr>
            <w:tcW w:w="2126" w:type="dxa"/>
            <w:tcBorders>
              <w:top w:val="nil"/>
              <w:left w:val="nil"/>
              <w:bottom w:val="nil"/>
              <w:right w:val="nil"/>
            </w:tcBorders>
            <w:vAlign w:val="center"/>
          </w:tcPr>
          <w:p w:rsidR="00B83890" w:rsidRPr="00725CA1" w:rsidRDefault="00B83890" w:rsidP="006E6DC8"/>
        </w:tc>
        <w:tc>
          <w:tcPr>
            <w:tcW w:w="1276" w:type="dxa"/>
            <w:tcBorders>
              <w:top w:val="nil"/>
              <w:left w:val="nil"/>
              <w:bottom w:val="nil"/>
              <w:right w:val="nil"/>
            </w:tcBorders>
            <w:vAlign w:val="center"/>
          </w:tcPr>
          <w:p w:rsidR="00B83890" w:rsidRPr="00725CA1" w:rsidRDefault="00B83890" w:rsidP="006E6DC8">
            <w:pPr>
              <w:jc w:val="right"/>
            </w:pPr>
          </w:p>
        </w:tc>
        <w:tc>
          <w:tcPr>
            <w:tcW w:w="1417" w:type="dxa"/>
            <w:gridSpan w:val="2"/>
            <w:tcBorders>
              <w:top w:val="nil"/>
              <w:left w:val="nil"/>
              <w:bottom w:val="nil"/>
              <w:right w:val="nil"/>
            </w:tcBorders>
            <w:vAlign w:val="center"/>
          </w:tcPr>
          <w:p w:rsidR="00B83890" w:rsidRPr="00725CA1" w:rsidRDefault="00B83890" w:rsidP="006E6DC8">
            <w:pPr>
              <w:jc w:val="right"/>
            </w:pPr>
          </w:p>
        </w:tc>
      </w:tr>
      <w:tr w:rsidR="00B83890" w:rsidRPr="00725CA1" w:rsidTr="00C42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8" w:type="dxa"/>
          <w:trHeight w:val="255"/>
        </w:trPr>
        <w:tc>
          <w:tcPr>
            <w:tcW w:w="4395" w:type="dxa"/>
            <w:tcBorders>
              <w:top w:val="nil"/>
              <w:left w:val="nil"/>
              <w:bottom w:val="nil"/>
              <w:right w:val="nil"/>
            </w:tcBorders>
            <w:vAlign w:val="center"/>
          </w:tcPr>
          <w:p w:rsidR="00B83890" w:rsidRPr="00725CA1" w:rsidRDefault="00B83890" w:rsidP="00222E60">
            <w:pPr>
              <w:ind w:left="631"/>
              <w:rPr>
                <w:color w:val="000000"/>
                <w:lang w:val="en-GB"/>
              </w:rPr>
            </w:pPr>
            <w:r w:rsidRPr="00725CA1">
              <w:rPr>
                <w:color w:val="000000"/>
                <w:lang w:val="en-GB"/>
              </w:rPr>
              <w:t>Prepaid expenses</w:t>
            </w:r>
          </w:p>
        </w:tc>
        <w:tc>
          <w:tcPr>
            <w:tcW w:w="2126" w:type="dxa"/>
            <w:tcBorders>
              <w:top w:val="nil"/>
              <w:left w:val="nil"/>
              <w:bottom w:val="nil"/>
              <w:right w:val="nil"/>
            </w:tcBorders>
            <w:vAlign w:val="center"/>
          </w:tcPr>
          <w:p w:rsidR="00B83890" w:rsidRPr="00725CA1" w:rsidRDefault="00B83890" w:rsidP="006E6DC8"/>
        </w:tc>
        <w:tc>
          <w:tcPr>
            <w:tcW w:w="1276" w:type="dxa"/>
            <w:tcBorders>
              <w:top w:val="nil"/>
              <w:left w:val="nil"/>
              <w:bottom w:val="nil"/>
              <w:right w:val="nil"/>
            </w:tcBorders>
            <w:vAlign w:val="center"/>
          </w:tcPr>
          <w:p w:rsidR="00B83890" w:rsidRPr="00725CA1" w:rsidRDefault="00B83890" w:rsidP="006E6DC8">
            <w:pPr>
              <w:jc w:val="right"/>
            </w:pPr>
            <w:r>
              <w:t>93</w:t>
            </w:r>
          </w:p>
        </w:tc>
        <w:tc>
          <w:tcPr>
            <w:tcW w:w="1417" w:type="dxa"/>
            <w:gridSpan w:val="2"/>
            <w:tcBorders>
              <w:top w:val="nil"/>
              <w:left w:val="nil"/>
              <w:bottom w:val="nil"/>
              <w:right w:val="nil"/>
            </w:tcBorders>
            <w:vAlign w:val="center"/>
          </w:tcPr>
          <w:p w:rsidR="00B83890" w:rsidRPr="00725CA1" w:rsidRDefault="00B83890" w:rsidP="006E6DC8">
            <w:pPr>
              <w:jc w:val="right"/>
            </w:pPr>
            <w:r w:rsidRPr="00725CA1">
              <w:t>0</w:t>
            </w:r>
          </w:p>
        </w:tc>
      </w:tr>
      <w:tr w:rsidR="00B83890" w:rsidRPr="00361A91" w:rsidTr="00C42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8" w:type="dxa"/>
        </w:trPr>
        <w:tc>
          <w:tcPr>
            <w:tcW w:w="4395" w:type="dxa"/>
            <w:tcBorders>
              <w:left w:val="nil"/>
              <w:bottom w:val="double" w:sz="4" w:space="0" w:color="auto"/>
              <w:right w:val="nil"/>
            </w:tcBorders>
            <w:vAlign w:val="center"/>
          </w:tcPr>
          <w:p w:rsidR="00B83890" w:rsidRPr="00725CA1" w:rsidRDefault="00B83890" w:rsidP="006E6DC8">
            <w:pPr>
              <w:spacing w:after="40"/>
              <w:ind w:left="-57"/>
              <w:rPr>
                <w:b/>
                <w:color w:val="000000"/>
                <w:lang w:val="en-GB"/>
              </w:rPr>
            </w:pPr>
            <w:r w:rsidRPr="00725CA1">
              <w:rPr>
                <w:b/>
              </w:rPr>
              <w:t>TOTAL</w:t>
            </w:r>
          </w:p>
        </w:tc>
        <w:tc>
          <w:tcPr>
            <w:tcW w:w="2126" w:type="dxa"/>
            <w:tcBorders>
              <w:left w:val="nil"/>
              <w:bottom w:val="double" w:sz="4" w:space="0" w:color="auto"/>
              <w:right w:val="nil"/>
            </w:tcBorders>
            <w:vAlign w:val="center"/>
          </w:tcPr>
          <w:p w:rsidR="00B83890" w:rsidRPr="00361A91" w:rsidRDefault="00B83890" w:rsidP="006E6DC8">
            <w:pPr>
              <w:jc w:val="right"/>
              <w:rPr>
                <w:strike/>
              </w:rPr>
            </w:pPr>
          </w:p>
        </w:tc>
        <w:tc>
          <w:tcPr>
            <w:tcW w:w="1276" w:type="dxa"/>
            <w:tcBorders>
              <w:left w:val="nil"/>
              <w:bottom w:val="double" w:sz="4" w:space="0" w:color="auto"/>
              <w:right w:val="nil"/>
            </w:tcBorders>
            <w:vAlign w:val="center"/>
          </w:tcPr>
          <w:p w:rsidR="00B83890" w:rsidRPr="00725CA1" w:rsidRDefault="00B83890" w:rsidP="006E6DC8">
            <w:pPr>
              <w:jc w:val="right"/>
              <w:rPr>
                <w:b/>
                <w:color w:val="000000"/>
                <w:lang w:val="en-GB"/>
              </w:rPr>
            </w:pPr>
            <w:r>
              <w:rPr>
                <w:b/>
                <w:color w:val="000000"/>
                <w:lang w:val="en-GB"/>
              </w:rPr>
              <w:t>93</w:t>
            </w:r>
          </w:p>
        </w:tc>
        <w:tc>
          <w:tcPr>
            <w:tcW w:w="1417" w:type="dxa"/>
            <w:gridSpan w:val="2"/>
            <w:tcBorders>
              <w:left w:val="nil"/>
              <w:bottom w:val="double" w:sz="4" w:space="0" w:color="auto"/>
              <w:right w:val="nil"/>
            </w:tcBorders>
            <w:vAlign w:val="center"/>
          </w:tcPr>
          <w:p w:rsidR="00B83890" w:rsidRPr="00725CA1" w:rsidRDefault="00B83890" w:rsidP="006E6DC8">
            <w:pPr>
              <w:jc w:val="right"/>
              <w:rPr>
                <w:b/>
                <w:color w:val="000000"/>
                <w:lang w:val="en-GB"/>
              </w:rPr>
            </w:pPr>
            <w:r w:rsidRPr="00725CA1">
              <w:rPr>
                <w:b/>
                <w:color w:val="000000"/>
                <w:lang w:val="en-GB"/>
              </w:rPr>
              <w:t>0</w:t>
            </w:r>
          </w:p>
        </w:tc>
      </w:tr>
    </w:tbl>
    <w:p w:rsidR="00B83890" w:rsidRDefault="00B83890" w:rsidP="00B83890"/>
    <w:p w:rsidR="00B83890" w:rsidRDefault="00B83890" w:rsidP="00B83890"/>
    <w:p w:rsidR="00B83890" w:rsidRDefault="00B83890" w:rsidP="00513943">
      <w:pPr>
        <w:pStyle w:val="Heading3"/>
      </w:pPr>
      <w:r>
        <w:t>9</w:t>
      </w:r>
      <w:r w:rsidRPr="00D605F7">
        <w:t>.</w:t>
      </w:r>
      <w:r w:rsidRPr="00D605F7">
        <w:tab/>
        <w:t>NON</w:t>
      </w:r>
      <w:r>
        <w:t>-</w:t>
      </w:r>
      <w:r w:rsidRPr="00D605F7">
        <w:t xml:space="preserve">CURRENT </w:t>
      </w:r>
      <w:r>
        <w:t xml:space="preserve">PHYSICAL </w:t>
      </w:r>
      <w:r w:rsidRPr="00D605F7">
        <w:t>ASSETS</w:t>
      </w:r>
    </w:p>
    <w:p w:rsidR="00B83890" w:rsidRPr="00912709" w:rsidRDefault="00B83890" w:rsidP="00B83890"/>
    <w:p w:rsidR="00B83890" w:rsidRDefault="00B83890" w:rsidP="00B83890">
      <w:pPr>
        <w:pStyle w:val="Heading2"/>
        <w:tabs>
          <w:tab w:val="left" w:pos="426"/>
        </w:tabs>
        <w:spacing w:before="60"/>
        <w:jc w:val="both"/>
        <w:rPr>
          <w:b w:val="0"/>
          <w:sz w:val="20"/>
        </w:rPr>
      </w:pPr>
      <w:r w:rsidRPr="008F09DA">
        <w:rPr>
          <w:b w:val="0"/>
          <w:sz w:val="20"/>
        </w:rPr>
        <w:t>Fair value in the sub-sections below for this note is represented by values at valuation less accumulated depreciation and at cost less accumulated depreciation where applicable under Note 1(d) Non-</w:t>
      </w:r>
      <w:r>
        <w:rPr>
          <w:b w:val="0"/>
          <w:sz w:val="20"/>
        </w:rPr>
        <w:t>C</w:t>
      </w:r>
      <w:r w:rsidRPr="008F09DA">
        <w:rPr>
          <w:b w:val="0"/>
          <w:sz w:val="20"/>
        </w:rPr>
        <w:t>urrent Physical Assets.</w:t>
      </w:r>
    </w:p>
    <w:p w:rsidR="004B1BAA" w:rsidRPr="004B1BAA" w:rsidRDefault="004B1BAA" w:rsidP="004B1BAA"/>
    <w:p w:rsidR="00B83890" w:rsidRPr="00D605F7" w:rsidRDefault="00B83890" w:rsidP="004B1BAA">
      <w:pPr>
        <w:pStyle w:val="Heading4"/>
        <w:rPr>
          <w:i/>
        </w:rPr>
      </w:pPr>
      <w:r>
        <w:t>9</w:t>
      </w:r>
      <w:r w:rsidRPr="00D605F7">
        <w:t>(a) Collections</w:t>
      </w:r>
    </w:p>
    <w:tbl>
      <w:tblPr>
        <w:tblW w:w="9214" w:type="dxa"/>
        <w:tblInd w:w="30" w:type="dxa"/>
        <w:tblLayout w:type="fixed"/>
        <w:tblCellMar>
          <w:left w:w="30" w:type="dxa"/>
          <w:right w:w="30" w:type="dxa"/>
        </w:tblCellMar>
        <w:tblLook w:val="0000" w:firstRow="0" w:lastRow="0" w:firstColumn="0" w:lastColumn="0" w:noHBand="0" w:noVBand="0"/>
        <w:tblCaption w:val="Non-Current Physical Assets, Collections at fair value"/>
        <w:tblDescription w:val="This table shows Collection assets at fair value for 2012–13 with comparison to 2011–12."/>
      </w:tblPr>
      <w:tblGrid>
        <w:gridCol w:w="6521"/>
        <w:gridCol w:w="1276"/>
        <w:gridCol w:w="1417"/>
      </w:tblGrid>
      <w:tr w:rsidR="00B83890" w:rsidTr="006E6DC8">
        <w:trPr>
          <w:cantSplit/>
          <w:trHeight w:val="255"/>
        </w:trPr>
        <w:tc>
          <w:tcPr>
            <w:tcW w:w="6521" w:type="dxa"/>
            <w:vAlign w:val="center"/>
          </w:tcPr>
          <w:p w:rsidR="00B83890" w:rsidRPr="00912709" w:rsidRDefault="00B83890" w:rsidP="006E6DC8">
            <w:pPr>
              <w:pStyle w:val="Heading5"/>
              <w:ind w:left="112"/>
              <w:rPr>
                <w:b w:val="0"/>
                <w:lang w:val="en-GB"/>
              </w:rPr>
            </w:pPr>
            <w:r w:rsidRPr="00912709">
              <w:rPr>
                <w:lang w:val="en-GB"/>
              </w:rPr>
              <w:t>At Fair Value</w:t>
            </w:r>
          </w:p>
          <w:p w:rsidR="00B83890" w:rsidRPr="00912709" w:rsidRDefault="00B83890" w:rsidP="006E6DC8">
            <w:pPr>
              <w:rPr>
                <w:lang w:val="en-GB"/>
              </w:rPr>
            </w:pPr>
          </w:p>
        </w:tc>
        <w:tc>
          <w:tcPr>
            <w:tcW w:w="1276" w:type="dxa"/>
            <w:vAlign w:val="center"/>
          </w:tcPr>
          <w:p w:rsidR="00B83890" w:rsidRPr="00912709" w:rsidRDefault="00B83890" w:rsidP="006E6DC8">
            <w:pPr>
              <w:jc w:val="right"/>
              <w:rPr>
                <w:b/>
                <w:lang w:val="en-GB"/>
              </w:rPr>
            </w:pPr>
            <w:r w:rsidRPr="00912709">
              <w:rPr>
                <w:b/>
                <w:lang w:val="en-GB"/>
              </w:rPr>
              <w:t>2013</w:t>
            </w:r>
          </w:p>
          <w:p w:rsidR="00B83890" w:rsidRPr="00912709" w:rsidRDefault="00B83890" w:rsidP="006E6DC8">
            <w:pPr>
              <w:jc w:val="right"/>
              <w:rPr>
                <w:b/>
                <w:lang w:val="en-GB"/>
              </w:rPr>
            </w:pPr>
            <w:r w:rsidRPr="00912709">
              <w:rPr>
                <w:b/>
                <w:lang w:val="en-GB"/>
              </w:rPr>
              <w:t>$,000</w:t>
            </w:r>
          </w:p>
        </w:tc>
        <w:tc>
          <w:tcPr>
            <w:tcW w:w="1417" w:type="dxa"/>
            <w:vAlign w:val="center"/>
          </w:tcPr>
          <w:p w:rsidR="00B83890" w:rsidRPr="00912709" w:rsidRDefault="00B83890" w:rsidP="006E6DC8">
            <w:pPr>
              <w:jc w:val="right"/>
              <w:rPr>
                <w:b/>
                <w:lang w:val="en-GB"/>
              </w:rPr>
            </w:pPr>
            <w:r w:rsidRPr="00912709">
              <w:rPr>
                <w:b/>
                <w:lang w:val="en-GB"/>
              </w:rPr>
              <w:t>2012</w:t>
            </w:r>
          </w:p>
          <w:p w:rsidR="00B83890" w:rsidRPr="00912709" w:rsidRDefault="00B83890" w:rsidP="006E6DC8">
            <w:pPr>
              <w:jc w:val="right"/>
              <w:rPr>
                <w:b/>
                <w:lang w:val="en-GB"/>
              </w:rPr>
            </w:pPr>
            <w:r w:rsidRPr="00912709">
              <w:rPr>
                <w:b/>
                <w:lang w:val="en-GB"/>
              </w:rPr>
              <w:t>$,000</w:t>
            </w:r>
          </w:p>
        </w:tc>
      </w:tr>
      <w:tr w:rsidR="00B83890" w:rsidTr="006E6DC8">
        <w:trPr>
          <w:cantSplit/>
          <w:trHeight w:val="255"/>
        </w:trPr>
        <w:tc>
          <w:tcPr>
            <w:tcW w:w="6521" w:type="dxa"/>
            <w:vAlign w:val="center"/>
          </w:tcPr>
          <w:p w:rsidR="00B83890" w:rsidRPr="00912709" w:rsidRDefault="00B83890" w:rsidP="006E6DC8">
            <w:pPr>
              <w:rPr>
                <w:b/>
                <w:i/>
                <w:lang w:val="en-GB"/>
              </w:rPr>
            </w:pPr>
            <w:r w:rsidRPr="00912709">
              <w:rPr>
                <w:b/>
                <w:i/>
                <w:lang w:val="en-GB"/>
              </w:rPr>
              <w:tab/>
            </w:r>
            <w:r w:rsidRPr="00912709">
              <w:rPr>
                <w:lang w:val="en-GB"/>
              </w:rPr>
              <w:t xml:space="preserve">Indigenous Collections* </w:t>
            </w:r>
          </w:p>
        </w:tc>
        <w:tc>
          <w:tcPr>
            <w:tcW w:w="1276" w:type="dxa"/>
            <w:vAlign w:val="center"/>
          </w:tcPr>
          <w:p w:rsidR="00B83890" w:rsidRDefault="00B83890" w:rsidP="006E6DC8">
            <w:pPr>
              <w:jc w:val="right"/>
              <w:rPr>
                <w:lang w:val="en-GB"/>
              </w:rPr>
            </w:pPr>
            <w:r>
              <w:rPr>
                <w:lang w:val="en-GB"/>
              </w:rPr>
              <w:t>127,587</w:t>
            </w:r>
          </w:p>
        </w:tc>
        <w:tc>
          <w:tcPr>
            <w:tcW w:w="1417" w:type="dxa"/>
            <w:vAlign w:val="center"/>
          </w:tcPr>
          <w:p w:rsidR="00B83890" w:rsidRDefault="00B83890" w:rsidP="006E6DC8">
            <w:pPr>
              <w:jc w:val="right"/>
              <w:rPr>
                <w:lang w:val="en-GB"/>
              </w:rPr>
            </w:pPr>
            <w:r>
              <w:rPr>
                <w:lang w:val="en-GB"/>
              </w:rPr>
              <w:t>127,587</w:t>
            </w:r>
          </w:p>
        </w:tc>
      </w:tr>
      <w:tr w:rsidR="00B83890" w:rsidTr="006E6DC8">
        <w:tblPrEx>
          <w:tblCellMar>
            <w:left w:w="31" w:type="dxa"/>
            <w:right w:w="31" w:type="dxa"/>
          </w:tblCellMar>
        </w:tblPrEx>
        <w:trPr>
          <w:cantSplit/>
          <w:trHeight w:val="255"/>
        </w:trPr>
        <w:tc>
          <w:tcPr>
            <w:tcW w:w="6521" w:type="dxa"/>
            <w:vAlign w:val="center"/>
          </w:tcPr>
          <w:p w:rsidR="00B83890" w:rsidRPr="00912709" w:rsidRDefault="00B83890" w:rsidP="006E6DC8">
            <w:pPr>
              <w:rPr>
                <w:lang w:val="en-GB"/>
              </w:rPr>
            </w:pPr>
            <w:r w:rsidRPr="00912709">
              <w:rPr>
                <w:lang w:val="en-GB"/>
              </w:rPr>
              <w:tab/>
              <w:t xml:space="preserve">History and Technology Collections* </w:t>
            </w:r>
          </w:p>
        </w:tc>
        <w:tc>
          <w:tcPr>
            <w:tcW w:w="1276" w:type="dxa"/>
            <w:vAlign w:val="center"/>
          </w:tcPr>
          <w:p w:rsidR="00B83890" w:rsidRDefault="00B83890" w:rsidP="006E6DC8">
            <w:pPr>
              <w:jc w:val="right"/>
              <w:rPr>
                <w:lang w:val="en-GB"/>
              </w:rPr>
            </w:pPr>
            <w:r>
              <w:rPr>
                <w:lang w:val="en-GB"/>
              </w:rPr>
              <w:t>74,217</w:t>
            </w:r>
          </w:p>
        </w:tc>
        <w:tc>
          <w:tcPr>
            <w:tcW w:w="1417" w:type="dxa"/>
            <w:vAlign w:val="center"/>
          </w:tcPr>
          <w:p w:rsidR="00B83890" w:rsidRDefault="00B83890" w:rsidP="006E6DC8">
            <w:pPr>
              <w:jc w:val="right"/>
              <w:rPr>
                <w:lang w:val="en-GB"/>
              </w:rPr>
            </w:pPr>
            <w:r>
              <w:rPr>
                <w:lang w:val="en-GB"/>
              </w:rPr>
              <w:t>74,273</w:t>
            </w:r>
          </w:p>
        </w:tc>
      </w:tr>
      <w:tr w:rsidR="00B83890" w:rsidTr="006E6DC8">
        <w:trPr>
          <w:cantSplit/>
          <w:trHeight w:val="255"/>
        </w:trPr>
        <w:tc>
          <w:tcPr>
            <w:tcW w:w="6521" w:type="dxa"/>
            <w:vAlign w:val="center"/>
          </w:tcPr>
          <w:p w:rsidR="00B83890" w:rsidRPr="00912709" w:rsidRDefault="00B83890" w:rsidP="006E6DC8">
            <w:pPr>
              <w:rPr>
                <w:b/>
                <w:i/>
                <w:lang w:val="en-GB"/>
              </w:rPr>
            </w:pPr>
            <w:r w:rsidRPr="00912709">
              <w:rPr>
                <w:b/>
                <w:i/>
                <w:lang w:val="en-GB"/>
              </w:rPr>
              <w:tab/>
            </w:r>
            <w:r w:rsidRPr="00912709">
              <w:rPr>
                <w:lang w:val="en-GB"/>
              </w:rPr>
              <w:t xml:space="preserve">Natural Science Collections* </w:t>
            </w:r>
          </w:p>
        </w:tc>
        <w:tc>
          <w:tcPr>
            <w:tcW w:w="1276" w:type="dxa"/>
            <w:vAlign w:val="center"/>
          </w:tcPr>
          <w:p w:rsidR="00B83890" w:rsidRDefault="00B83890" w:rsidP="006E6DC8">
            <w:pPr>
              <w:jc w:val="right"/>
              <w:rPr>
                <w:lang w:val="en-GB"/>
              </w:rPr>
            </w:pPr>
            <w:r>
              <w:rPr>
                <w:lang w:val="en-GB"/>
              </w:rPr>
              <w:t>282,217</w:t>
            </w:r>
          </w:p>
        </w:tc>
        <w:tc>
          <w:tcPr>
            <w:tcW w:w="1417" w:type="dxa"/>
            <w:vAlign w:val="center"/>
          </w:tcPr>
          <w:p w:rsidR="00B83890" w:rsidRDefault="00B83890" w:rsidP="006E6DC8">
            <w:pPr>
              <w:jc w:val="right"/>
              <w:rPr>
                <w:lang w:val="en-GB"/>
              </w:rPr>
            </w:pPr>
            <w:r>
              <w:rPr>
                <w:lang w:val="en-GB"/>
              </w:rPr>
              <w:t>282,310</w:t>
            </w:r>
          </w:p>
        </w:tc>
      </w:tr>
      <w:tr w:rsidR="00B83890" w:rsidTr="006E6DC8">
        <w:tblPrEx>
          <w:tblCellMar>
            <w:left w:w="31" w:type="dxa"/>
            <w:right w:w="31" w:type="dxa"/>
          </w:tblCellMar>
        </w:tblPrEx>
        <w:trPr>
          <w:cantSplit/>
          <w:trHeight w:val="255"/>
        </w:trPr>
        <w:tc>
          <w:tcPr>
            <w:tcW w:w="6521" w:type="dxa"/>
            <w:vAlign w:val="center"/>
          </w:tcPr>
          <w:p w:rsidR="00B83890" w:rsidRPr="00912709" w:rsidRDefault="00B83890" w:rsidP="006E6DC8">
            <w:pPr>
              <w:rPr>
                <w:b/>
                <w:i/>
                <w:lang w:val="en-GB"/>
              </w:rPr>
            </w:pPr>
            <w:r w:rsidRPr="00912709">
              <w:rPr>
                <w:i/>
                <w:lang w:val="en-GB"/>
              </w:rPr>
              <w:tab/>
            </w:r>
            <w:r w:rsidRPr="00912709">
              <w:rPr>
                <w:lang w:val="en-GB"/>
              </w:rPr>
              <w:t>Library Rare and High Value*</w:t>
            </w:r>
          </w:p>
        </w:tc>
        <w:tc>
          <w:tcPr>
            <w:tcW w:w="1276" w:type="dxa"/>
            <w:vAlign w:val="center"/>
          </w:tcPr>
          <w:p w:rsidR="00B83890" w:rsidRPr="00F07A05" w:rsidRDefault="00B83890" w:rsidP="006E6DC8">
            <w:pPr>
              <w:jc w:val="right"/>
              <w:rPr>
                <w:lang w:val="en-GB"/>
              </w:rPr>
            </w:pPr>
            <w:r>
              <w:rPr>
                <w:lang w:val="en-GB"/>
              </w:rPr>
              <w:t>8,308</w:t>
            </w:r>
          </w:p>
        </w:tc>
        <w:tc>
          <w:tcPr>
            <w:tcW w:w="1417" w:type="dxa"/>
            <w:vAlign w:val="center"/>
          </w:tcPr>
          <w:p w:rsidR="00B83890" w:rsidRPr="00F07A05" w:rsidRDefault="00B83890" w:rsidP="006E6DC8">
            <w:pPr>
              <w:jc w:val="right"/>
              <w:rPr>
                <w:lang w:val="en-GB"/>
              </w:rPr>
            </w:pPr>
            <w:r>
              <w:rPr>
                <w:lang w:val="en-GB"/>
              </w:rPr>
              <w:t>8,306</w:t>
            </w:r>
          </w:p>
        </w:tc>
      </w:tr>
      <w:tr w:rsidR="00B83890" w:rsidTr="006E6DC8">
        <w:tblPrEx>
          <w:tblCellMar>
            <w:left w:w="31" w:type="dxa"/>
            <w:right w:w="31" w:type="dxa"/>
          </w:tblCellMar>
        </w:tblPrEx>
        <w:trPr>
          <w:cantSplit/>
          <w:trHeight w:val="255"/>
        </w:trPr>
        <w:tc>
          <w:tcPr>
            <w:tcW w:w="6521" w:type="dxa"/>
            <w:vAlign w:val="center"/>
          </w:tcPr>
          <w:p w:rsidR="00B83890" w:rsidRPr="00912709" w:rsidRDefault="00B83890" w:rsidP="00751664">
            <w:pPr>
              <w:ind w:left="678"/>
              <w:rPr>
                <w:lang w:val="en-GB"/>
              </w:rPr>
            </w:pPr>
            <w:r w:rsidRPr="00912709">
              <w:rPr>
                <w:lang w:val="en-GB"/>
              </w:rPr>
              <w:t>Library non-Rare or High Value</w:t>
            </w:r>
          </w:p>
        </w:tc>
        <w:tc>
          <w:tcPr>
            <w:tcW w:w="1276" w:type="dxa"/>
            <w:vAlign w:val="center"/>
          </w:tcPr>
          <w:p w:rsidR="00B83890" w:rsidRDefault="00B83890" w:rsidP="006E6DC8">
            <w:pPr>
              <w:jc w:val="right"/>
              <w:rPr>
                <w:lang w:val="en-GB"/>
              </w:rPr>
            </w:pPr>
            <w:r>
              <w:rPr>
                <w:lang w:val="en-GB"/>
              </w:rPr>
              <w:t>5,675</w:t>
            </w:r>
          </w:p>
        </w:tc>
        <w:tc>
          <w:tcPr>
            <w:tcW w:w="1417" w:type="dxa"/>
            <w:vAlign w:val="center"/>
          </w:tcPr>
          <w:p w:rsidR="00B83890" w:rsidRDefault="00B83890" w:rsidP="006E6DC8">
            <w:pPr>
              <w:jc w:val="right"/>
              <w:rPr>
                <w:lang w:val="en-GB"/>
              </w:rPr>
            </w:pPr>
            <w:r>
              <w:rPr>
                <w:lang w:val="en-GB"/>
              </w:rPr>
              <w:t>5,703</w:t>
            </w:r>
          </w:p>
        </w:tc>
      </w:tr>
      <w:tr w:rsidR="00B83890" w:rsidTr="006E6DC8">
        <w:tblPrEx>
          <w:tblCellMar>
            <w:left w:w="31" w:type="dxa"/>
            <w:right w:w="31" w:type="dxa"/>
          </w:tblCellMar>
        </w:tblPrEx>
        <w:trPr>
          <w:cantSplit/>
          <w:trHeight w:val="255"/>
        </w:trPr>
        <w:tc>
          <w:tcPr>
            <w:tcW w:w="6521" w:type="dxa"/>
            <w:vAlign w:val="center"/>
          </w:tcPr>
          <w:p w:rsidR="00B83890" w:rsidRPr="00912709" w:rsidRDefault="00B83890" w:rsidP="006E6DC8">
            <w:pPr>
              <w:rPr>
                <w:i/>
                <w:lang w:val="en-GB"/>
              </w:rPr>
            </w:pPr>
            <w:r w:rsidRPr="00912709">
              <w:t>Less Accumulated Depreciation Library non-Rare or High Value</w:t>
            </w:r>
          </w:p>
        </w:tc>
        <w:tc>
          <w:tcPr>
            <w:tcW w:w="1276" w:type="dxa"/>
            <w:vAlign w:val="center"/>
          </w:tcPr>
          <w:p w:rsidR="00B83890" w:rsidRDefault="00B83890" w:rsidP="006E6DC8">
            <w:pPr>
              <w:jc w:val="right"/>
              <w:rPr>
                <w:lang w:val="en-GB"/>
              </w:rPr>
            </w:pPr>
            <w:r>
              <w:rPr>
                <w:lang w:val="en-GB"/>
              </w:rPr>
              <w:t>(116)</w:t>
            </w:r>
          </w:p>
        </w:tc>
        <w:tc>
          <w:tcPr>
            <w:tcW w:w="1417" w:type="dxa"/>
            <w:vAlign w:val="center"/>
          </w:tcPr>
          <w:p w:rsidR="00B83890" w:rsidRDefault="00B83890" w:rsidP="006E6DC8">
            <w:pPr>
              <w:jc w:val="right"/>
              <w:rPr>
                <w:lang w:val="en-GB"/>
              </w:rPr>
            </w:pPr>
            <w:r>
              <w:rPr>
                <w:lang w:val="en-GB"/>
              </w:rPr>
              <w:t>(114)</w:t>
            </w:r>
          </w:p>
        </w:tc>
      </w:tr>
      <w:tr w:rsidR="00B83890" w:rsidTr="006E6DC8">
        <w:tblPrEx>
          <w:tblCellMar>
            <w:left w:w="31" w:type="dxa"/>
            <w:right w:w="31" w:type="dxa"/>
          </w:tblCellMar>
        </w:tblPrEx>
        <w:trPr>
          <w:cantSplit/>
          <w:trHeight w:val="255"/>
        </w:trPr>
        <w:tc>
          <w:tcPr>
            <w:tcW w:w="6521" w:type="dxa"/>
            <w:tcBorders>
              <w:bottom w:val="single" w:sz="8" w:space="0" w:color="000000"/>
            </w:tcBorders>
            <w:vAlign w:val="center"/>
          </w:tcPr>
          <w:p w:rsidR="00B83890" w:rsidRPr="00912709" w:rsidRDefault="00B83890" w:rsidP="006E6DC8">
            <w:pPr>
              <w:pStyle w:val="Heading5"/>
              <w:rPr>
                <w:lang w:val="en-GB"/>
              </w:rPr>
            </w:pPr>
            <w:r w:rsidRPr="00912709">
              <w:rPr>
                <w:lang w:val="en-GB"/>
              </w:rPr>
              <w:t xml:space="preserve">  Additions at Cost</w:t>
            </w:r>
          </w:p>
        </w:tc>
        <w:tc>
          <w:tcPr>
            <w:tcW w:w="1276" w:type="dxa"/>
            <w:tcBorders>
              <w:bottom w:val="single" w:sz="6" w:space="0" w:color="auto"/>
            </w:tcBorders>
            <w:vAlign w:val="center"/>
          </w:tcPr>
          <w:p w:rsidR="00B83890" w:rsidRDefault="00B83890" w:rsidP="006E6DC8">
            <w:pPr>
              <w:jc w:val="right"/>
              <w:rPr>
                <w:sz w:val="18"/>
                <w:lang w:val="en-GB"/>
              </w:rPr>
            </w:pPr>
            <w:r>
              <w:rPr>
                <w:lang w:val="en-GB"/>
              </w:rPr>
              <w:t>3,439</w:t>
            </w:r>
          </w:p>
        </w:tc>
        <w:tc>
          <w:tcPr>
            <w:tcW w:w="1417" w:type="dxa"/>
            <w:tcBorders>
              <w:bottom w:val="single" w:sz="6" w:space="0" w:color="auto"/>
            </w:tcBorders>
            <w:vAlign w:val="center"/>
          </w:tcPr>
          <w:p w:rsidR="00B83890" w:rsidRDefault="00B83890" w:rsidP="006E6DC8">
            <w:pPr>
              <w:jc w:val="right"/>
              <w:rPr>
                <w:sz w:val="18"/>
                <w:lang w:val="en-GB"/>
              </w:rPr>
            </w:pPr>
            <w:r>
              <w:rPr>
                <w:lang w:val="en-GB"/>
              </w:rPr>
              <w:t>2,644</w:t>
            </w:r>
          </w:p>
        </w:tc>
      </w:tr>
      <w:tr w:rsidR="00B83890" w:rsidTr="006E6DC8">
        <w:tblPrEx>
          <w:tblCellMar>
            <w:left w:w="31" w:type="dxa"/>
            <w:right w:w="31" w:type="dxa"/>
          </w:tblCellMar>
        </w:tblPrEx>
        <w:trPr>
          <w:cantSplit/>
          <w:trHeight w:val="197"/>
        </w:trPr>
        <w:tc>
          <w:tcPr>
            <w:tcW w:w="6521" w:type="dxa"/>
            <w:tcBorders>
              <w:top w:val="single" w:sz="8" w:space="0" w:color="000000"/>
              <w:bottom w:val="double" w:sz="4" w:space="0" w:color="auto"/>
            </w:tcBorders>
          </w:tcPr>
          <w:p w:rsidR="00B83890" w:rsidRPr="00912709" w:rsidRDefault="00B83890" w:rsidP="006E6DC8">
            <w:pPr>
              <w:pStyle w:val="Heading5"/>
              <w:spacing w:before="0"/>
              <w:rPr>
                <w:b w:val="0"/>
                <w:lang w:val="en-GB"/>
              </w:rPr>
            </w:pPr>
            <w:r w:rsidRPr="00912709">
              <w:rPr>
                <w:lang w:val="en-GB"/>
              </w:rPr>
              <w:t xml:space="preserve"> TOTAL COLLECTIONS </w:t>
            </w:r>
          </w:p>
        </w:tc>
        <w:tc>
          <w:tcPr>
            <w:tcW w:w="1276" w:type="dxa"/>
            <w:tcBorders>
              <w:top w:val="single" w:sz="6" w:space="0" w:color="auto"/>
              <w:bottom w:val="double" w:sz="4" w:space="0" w:color="auto"/>
            </w:tcBorders>
          </w:tcPr>
          <w:p w:rsidR="00B83890" w:rsidRPr="003D0CAE" w:rsidRDefault="00B83890" w:rsidP="006E6DC8">
            <w:pPr>
              <w:jc w:val="right"/>
              <w:rPr>
                <w:b/>
                <w:lang w:val="en-GB"/>
              </w:rPr>
            </w:pPr>
            <w:r>
              <w:rPr>
                <w:b/>
                <w:lang w:val="en-GB"/>
              </w:rPr>
              <w:t>501,327</w:t>
            </w:r>
          </w:p>
        </w:tc>
        <w:tc>
          <w:tcPr>
            <w:tcW w:w="1417" w:type="dxa"/>
            <w:tcBorders>
              <w:top w:val="single" w:sz="6" w:space="0" w:color="auto"/>
              <w:bottom w:val="double" w:sz="4" w:space="0" w:color="auto"/>
            </w:tcBorders>
          </w:tcPr>
          <w:p w:rsidR="00B83890" w:rsidRPr="003D0CAE" w:rsidRDefault="00B83890" w:rsidP="006E6DC8">
            <w:pPr>
              <w:jc w:val="right"/>
              <w:rPr>
                <w:b/>
                <w:lang w:val="en-GB"/>
              </w:rPr>
            </w:pPr>
            <w:r w:rsidRPr="003D0CAE">
              <w:rPr>
                <w:b/>
                <w:lang w:val="en-GB"/>
              </w:rPr>
              <w:t>500,709</w:t>
            </w:r>
          </w:p>
        </w:tc>
      </w:tr>
    </w:tbl>
    <w:p w:rsidR="00B83890" w:rsidRDefault="00B83890" w:rsidP="00B83890">
      <w:pPr>
        <w:pStyle w:val="Heading2"/>
        <w:keepNext w:val="0"/>
        <w:tabs>
          <w:tab w:val="left" w:pos="567"/>
        </w:tabs>
        <w:spacing w:before="40"/>
        <w:rPr>
          <w:b w:val="0"/>
          <w:sz w:val="20"/>
        </w:rPr>
      </w:pPr>
      <w:r>
        <w:rPr>
          <w:b w:val="0"/>
          <w:sz w:val="20"/>
        </w:rPr>
        <w:t>*</w:t>
      </w:r>
      <w:r w:rsidRPr="00504A60">
        <w:rPr>
          <w:b w:val="0"/>
          <w:sz w:val="20"/>
        </w:rPr>
        <w:t xml:space="preserve"> Valued at fair value at 30 June 2011 by the Australian Valuation Office.  The valuation methodology for fair value was based on a statistical sampling approach given the extent and diversity of the Collections, and by reference to market based evidence where available and to replacement cost.</w:t>
      </w:r>
    </w:p>
    <w:p w:rsidR="00B83890" w:rsidRDefault="00B83890" w:rsidP="00B83890">
      <w:pPr>
        <w:pStyle w:val="Heading2"/>
        <w:ind w:left="352" w:hanging="352"/>
        <w:rPr>
          <w:sz w:val="22"/>
          <w:szCs w:val="22"/>
        </w:rPr>
      </w:pPr>
      <w:r w:rsidRPr="0064748F">
        <w:rPr>
          <w:sz w:val="22"/>
          <w:szCs w:val="22"/>
        </w:rPr>
        <w:lastRenderedPageBreak/>
        <w:t>9.</w:t>
      </w:r>
      <w:r w:rsidRPr="0064748F">
        <w:rPr>
          <w:sz w:val="22"/>
          <w:szCs w:val="22"/>
        </w:rPr>
        <w:tab/>
        <w:t>NON-CURRENT PHYSICAL ASSETS (CONT’D)</w:t>
      </w:r>
    </w:p>
    <w:p w:rsidR="004B1BAA" w:rsidRPr="004B1BAA" w:rsidRDefault="004B1BAA" w:rsidP="004B1BAA"/>
    <w:p w:rsidR="00B83890" w:rsidRDefault="00B83890" w:rsidP="004B1BAA">
      <w:pPr>
        <w:pStyle w:val="Heading4"/>
      </w:pPr>
      <w:r>
        <w:t>9</w:t>
      </w:r>
      <w:r w:rsidRPr="00D605F7">
        <w:t>(b) Property</w:t>
      </w:r>
    </w:p>
    <w:tbl>
      <w:tblPr>
        <w:tblW w:w="9214" w:type="dxa"/>
        <w:tblInd w:w="30" w:type="dxa"/>
        <w:tblLayout w:type="fixed"/>
        <w:tblCellMar>
          <w:left w:w="30" w:type="dxa"/>
          <w:right w:w="30" w:type="dxa"/>
        </w:tblCellMar>
        <w:tblLook w:val="0000" w:firstRow="0" w:lastRow="0" w:firstColumn="0" w:lastColumn="0" w:noHBand="0" w:noVBand="0"/>
        <w:tblCaption w:val="Non-Current Physical Assets: Property"/>
        <w:tblDescription w:val="This table shows Property assets for 2012–13 with comparison to 2011–12."/>
      </w:tblPr>
      <w:tblGrid>
        <w:gridCol w:w="6464"/>
        <w:gridCol w:w="1126"/>
        <w:gridCol w:w="141"/>
        <w:gridCol w:w="1406"/>
        <w:gridCol w:w="77"/>
      </w:tblGrid>
      <w:tr w:rsidR="00B83890" w:rsidRPr="00912709" w:rsidTr="006E6DC8">
        <w:trPr>
          <w:cantSplit/>
          <w:trHeight w:val="255"/>
        </w:trPr>
        <w:tc>
          <w:tcPr>
            <w:tcW w:w="7655" w:type="dxa"/>
            <w:gridSpan w:val="2"/>
            <w:vAlign w:val="center"/>
          </w:tcPr>
          <w:p w:rsidR="00B83890" w:rsidRPr="00912709" w:rsidRDefault="00B83890" w:rsidP="006E6DC8">
            <w:pPr>
              <w:jc w:val="right"/>
              <w:rPr>
                <w:b/>
                <w:lang w:val="en-GB"/>
              </w:rPr>
            </w:pPr>
            <w:r>
              <w:rPr>
                <w:b/>
                <w:lang w:val="en-GB"/>
              </w:rPr>
              <w:t>2013</w:t>
            </w:r>
          </w:p>
          <w:p w:rsidR="00B83890" w:rsidRPr="00912709" w:rsidRDefault="00B83890" w:rsidP="006E6DC8">
            <w:pPr>
              <w:jc w:val="right"/>
              <w:rPr>
                <w:b/>
                <w:lang w:val="en-GB"/>
              </w:rPr>
            </w:pPr>
            <w:r w:rsidRPr="00912709">
              <w:rPr>
                <w:b/>
                <w:lang w:val="en-GB"/>
              </w:rPr>
              <w:t>$,000</w:t>
            </w:r>
          </w:p>
        </w:tc>
        <w:tc>
          <w:tcPr>
            <w:tcW w:w="1559" w:type="dxa"/>
            <w:gridSpan w:val="3"/>
            <w:vAlign w:val="center"/>
          </w:tcPr>
          <w:p w:rsidR="00B83890" w:rsidRPr="00912709" w:rsidRDefault="00B83890" w:rsidP="006E6DC8">
            <w:pPr>
              <w:jc w:val="right"/>
              <w:rPr>
                <w:b/>
                <w:lang w:val="en-GB"/>
              </w:rPr>
            </w:pPr>
            <w:r w:rsidRPr="00912709">
              <w:rPr>
                <w:b/>
                <w:lang w:val="en-GB"/>
              </w:rPr>
              <w:t>2012</w:t>
            </w:r>
          </w:p>
          <w:p w:rsidR="00B83890" w:rsidRPr="00912709" w:rsidRDefault="00B83890" w:rsidP="006E6DC8">
            <w:pPr>
              <w:jc w:val="right"/>
              <w:rPr>
                <w:b/>
                <w:lang w:val="en-GB"/>
              </w:rPr>
            </w:pPr>
            <w:r w:rsidRPr="00912709">
              <w:rPr>
                <w:b/>
                <w:lang w:val="en-GB"/>
              </w:rPr>
              <w:t>$,000</w:t>
            </w:r>
          </w:p>
        </w:tc>
      </w:tr>
      <w:tr w:rsidR="00B83890" w:rsidTr="006E6DC8">
        <w:tblPrEx>
          <w:tblCellMar>
            <w:left w:w="108" w:type="dxa"/>
            <w:right w:w="108" w:type="dxa"/>
          </w:tblCellMar>
        </w:tblPrEx>
        <w:trPr>
          <w:gridAfter w:val="1"/>
          <w:wAfter w:w="78" w:type="dxa"/>
          <w:cantSplit/>
          <w:trHeight w:val="255"/>
        </w:trPr>
        <w:tc>
          <w:tcPr>
            <w:tcW w:w="6521" w:type="dxa"/>
            <w:vAlign w:val="center"/>
          </w:tcPr>
          <w:p w:rsidR="00B83890" w:rsidRDefault="00B83890" w:rsidP="006E6DC8">
            <w:pPr>
              <w:rPr>
                <w:b/>
              </w:rPr>
            </w:pPr>
            <w:r>
              <w:rPr>
                <w:b/>
              </w:rPr>
              <w:t xml:space="preserve">   Land at Fair Value ***</w:t>
            </w:r>
          </w:p>
        </w:tc>
        <w:tc>
          <w:tcPr>
            <w:tcW w:w="1276" w:type="dxa"/>
            <w:gridSpan w:val="2"/>
            <w:vAlign w:val="center"/>
          </w:tcPr>
          <w:p w:rsidR="00B83890" w:rsidRDefault="00B83890" w:rsidP="006E6DC8">
            <w:pPr>
              <w:jc w:val="right"/>
            </w:pPr>
            <w:r>
              <w:t>153,982</w:t>
            </w:r>
          </w:p>
        </w:tc>
        <w:tc>
          <w:tcPr>
            <w:tcW w:w="1417" w:type="dxa"/>
            <w:vAlign w:val="center"/>
          </w:tcPr>
          <w:p w:rsidR="00B83890" w:rsidRDefault="00B83890" w:rsidP="006E6DC8">
            <w:pPr>
              <w:jc w:val="right"/>
            </w:pPr>
            <w:r>
              <w:t>153,982</w:t>
            </w:r>
          </w:p>
        </w:tc>
      </w:tr>
      <w:tr w:rsidR="00B83890" w:rsidTr="006E6DC8">
        <w:tblPrEx>
          <w:tblCellMar>
            <w:left w:w="108" w:type="dxa"/>
            <w:right w:w="108" w:type="dxa"/>
          </w:tblCellMar>
        </w:tblPrEx>
        <w:trPr>
          <w:gridAfter w:val="1"/>
          <w:wAfter w:w="78" w:type="dxa"/>
          <w:cantSplit/>
          <w:trHeight w:val="255"/>
        </w:trPr>
        <w:tc>
          <w:tcPr>
            <w:tcW w:w="6521" w:type="dxa"/>
            <w:vAlign w:val="center"/>
          </w:tcPr>
          <w:p w:rsidR="00B83890" w:rsidRDefault="00B83890" w:rsidP="006E6DC8">
            <w:pPr>
              <w:rPr>
                <w:b/>
              </w:rPr>
            </w:pPr>
            <w:r>
              <w:rPr>
                <w:b/>
              </w:rPr>
              <w:t xml:space="preserve">   Buildings at Fair Value ***</w:t>
            </w:r>
          </w:p>
        </w:tc>
        <w:tc>
          <w:tcPr>
            <w:tcW w:w="1276" w:type="dxa"/>
            <w:gridSpan w:val="2"/>
            <w:vAlign w:val="center"/>
          </w:tcPr>
          <w:p w:rsidR="00B83890" w:rsidRDefault="00B83890" w:rsidP="006E6DC8">
            <w:pPr>
              <w:rPr>
                <w:b/>
              </w:rPr>
            </w:pPr>
          </w:p>
        </w:tc>
        <w:tc>
          <w:tcPr>
            <w:tcW w:w="1417" w:type="dxa"/>
            <w:vAlign w:val="center"/>
          </w:tcPr>
          <w:p w:rsidR="00B83890" w:rsidRDefault="00B83890" w:rsidP="006E6DC8">
            <w:pPr>
              <w:rPr>
                <w:b/>
              </w:rPr>
            </w:pPr>
          </w:p>
        </w:tc>
      </w:tr>
      <w:tr w:rsidR="00B83890" w:rsidTr="006E6DC8">
        <w:tblPrEx>
          <w:tblCellMar>
            <w:left w:w="108" w:type="dxa"/>
            <w:right w:w="108" w:type="dxa"/>
          </w:tblCellMar>
        </w:tblPrEx>
        <w:trPr>
          <w:gridAfter w:val="1"/>
          <w:wAfter w:w="78" w:type="dxa"/>
          <w:cantSplit/>
          <w:trHeight w:val="255"/>
        </w:trPr>
        <w:tc>
          <w:tcPr>
            <w:tcW w:w="6521" w:type="dxa"/>
            <w:vAlign w:val="center"/>
          </w:tcPr>
          <w:p w:rsidR="00B83890" w:rsidRPr="00D47C3A" w:rsidRDefault="00B83890" w:rsidP="006E6DC8">
            <w:pPr>
              <w:ind w:firstLine="601"/>
              <w:rPr>
                <w:highlight w:val="yellow"/>
              </w:rPr>
            </w:pPr>
            <w:r w:rsidRPr="007656C4">
              <w:t>Former ACI Site, including Simcock Avenue Store</w:t>
            </w:r>
          </w:p>
        </w:tc>
        <w:tc>
          <w:tcPr>
            <w:tcW w:w="1276" w:type="dxa"/>
            <w:gridSpan w:val="2"/>
            <w:vAlign w:val="center"/>
          </w:tcPr>
          <w:p w:rsidR="00B83890" w:rsidRPr="000F7382" w:rsidRDefault="00B83890" w:rsidP="006E6DC8">
            <w:pPr>
              <w:jc w:val="right"/>
            </w:pPr>
            <w:r>
              <w:t>1,570</w:t>
            </w:r>
          </w:p>
        </w:tc>
        <w:tc>
          <w:tcPr>
            <w:tcW w:w="1417" w:type="dxa"/>
            <w:vAlign w:val="center"/>
          </w:tcPr>
          <w:p w:rsidR="00B83890" w:rsidRPr="000F7382" w:rsidRDefault="00B83890" w:rsidP="006E6DC8">
            <w:pPr>
              <w:jc w:val="right"/>
            </w:pPr>
            <w:r>
              <w:t>1,570</w:t>
            </w:r>
          </w:p>
        </w:tc>
      </w:tr>
      <w:tr w:rsidR="00B83890" w:rsidTr="006E6DC8">
        <w:tblPrEx>
          <w:tblCellMar>
            <w:left w:w="108" w:type="dxa"/>
            <w:right w:w="108" w:type="dxa"/>
          </w:tblCellMar>
        </w:tblPrEx>
        <w:trPr>
          <w:gridAfter w:val="1"/>
          <w:wAfter w:w="78" w:type="dxa"/>
          <w:cantSplit/>
          <w:trHeight w:val="255"/>
        </w:trPr>
        <w:tc>
          <w:tcPr>
            <w:tcW w:w="6521" w:type="dxa"/>
            <w:vAlign w:val="center"/>
          </w:tcPr>
          <w:p w:rsidR="00B83890" w:rsidRDefault="00B83890" w:rsidP="006E6DC8">
            <w:pPr>
              <w:ind w:firstLine="601"/>
            </w:pPr>
            <w:r>
              <w:t>Scienceworks</w:t>
            </w:r>
          </w:p>
        </w:tc>
        <w:tc>
          <w:tcPr>
            <w:tcW w:w="1276" w:type="dxa"/>
            <w:gridSpan w:val="2"/>
            <w:vAlign w:val="center"/>
          </w:tcPr>
          <w:p w:rsidR="00B83890" w:rsidRDefault="00B83890" w:rsidP="006E6DC8">
            <w:pPr>
              <w:jc w:val="right"/>
            </w:pPr>
            <w:r>
              <w:t>20,192</w:t>
            </w:r>
          </w:p>
        </w:tc>
        <w:tc>
          <w:tcPr>
            <w:tcW w:w="1417" w:type="dxa"/>
            <w:vAlign w:val="center"/>
          </w:tcPr>
          <w:p w:rsidR="00B83890" w:rsidRDefault="00B83890" w:rsidP="006E6DC8">
            <w:pPr>
              <w:jc w:val="right"/>
            </w:pPr>
            <w:r>
              <w:t>20,076</w:t>
            </w:r>
          </w:p>
        </w:tc>
      </w:tr>
      <w:tr w:rsidR="00B83890" w:rsidTr="006E6DC8">
        <w:tblPrEx>
          <w:tblCellMar>
            <w:left w:w="108" w:type="dxa"/>
            <w:right w:w="108" w:type="dxa"/>
          </w:tblCellMar>
        </w:tblPrEx>
        <w:trPr>
          <w:gridAfter w:val="1"/>
          <w:wAfter w:w="78" w:type="dxa"/>
          <w:cantSplit/>
          <w:trHeight w:val="255"/>
        </w:trPr>
        <w:tc>
          <w:tcPr>
            <w:tcW w:w="6521" w:type="dxa"/>
            <w:vAlign w:val="center"/>
          </w:tcPr>
          <w:p w:rsidR="00B83890" w:rsidRDefault="00B83890" w:rsidP="006E6DC8">
            <w:pPr>
              <w:ind w:firstLine="601"/>
            </w:pPr>
            <w:r>
              <w:t>Royal Exhibition Building</w:t>
            </w:r>
          </w:p>
        </w:tc>
        <w:tc>
          <w:tcPr>
            <w:tcW w:w="1276" w:type="dxa"/>
            <w:gridSpan w:val="2"/>
            <w:vAlign w:val="center"/>
          </w:tcPr>
          <w:p w:rsidR="00B83890" w:rsidRDefault="00B83890" w:rsidP="006E6DC8">
            <w:pPr>
              <w:jc w:val="right"/>
            </w:pPr>
            <w:r>
              <w:t>43,111</w:t>
            </w:r>
          </w:p>
        </w:tc>
        <w:tc>
          <w:tcPr>
            <w:tcW w:w="1417" w:type="dxa"/>
            <w:vAlign w:val="center"/>
          </w:tcPr>
          <w:p w:rsidR="00B83890" w:rsidRDefault="00B83890" w:rsidP="006E6DC8">
            <w:pPr>
              <w:jc w:val="right"/>
            </w:pPr>
            <w:r>
              <w:t>43,111</w:t>
            </w:r>
          </w:p>
        </w:tc>
      </w:tr>
      <w:tr w:rsidR="00B83890" w:rsidTr="006E6DC8">
        <w:tblPrEx>
          <w:tblCellMar>
            <w:left w:w="108" w:type="dxa"/>
            <w:right w:w="108" w:type="dxa"/>
          </w:tblCellMar>
        </w:tblPrEx>
        <w:trPr>
          <w:gridAfter w:val="1"/>
          <w:wAfter w:w="78" w:type="dxa"/>
          <w:cantSplit/>
          <w:trHeight w:val="255"/>
        </w:trPr>
        <w:tc>
          <w:tcPr>
            <w:tcW w:w="6521" w:type="dxa"/>
            <w:vAlign w:val="center"/>
          </w:tcPr>
          <w:p w:rsidR="00B83890" w:rsidRDefault="00B83890" w:rsidP="006E6DC8">
            <w:pPr>
              <w:ind w:firstLine="601"/>
            </w:pPr>
            <w:r>
              <w:t>Immigration Museum</w:t>
            </w:r>
          </w:p>
        </w:tc>
        <w:tc>
          <w:tcPr>
            <w:tcW w:w="1276" w:type="dxa"/>
            <w:gridSpan w:val="2"/>
            <w:vAlign w:val="center"/>
          </w:tcPr>
          <w:p w:rsidR="00B83890" w:rsidRDefault="00B83890" w:rsidP="006E6DC8">
            <w:pPr>
              <w:jc w:val="right"/>
            </w:pPr>
            <w:r>
              <w:t>13,936</w:t>
            </w:r>
          </w:p>
        </w:tc>
        <w:tc>
          <w:tcPr>
            <w:tcW w:w="1417" w:type="dxa"/>
            <w:vAlign w:val="center"/>
          </w:tcPr>
          <w:p w:rsidR="00B83890" w:rsidRDefault="00B83890" w:rsidP="006E6DC8">
            <w:pPr>
              <w:jc w:val="right"/>
            </w:pPr>
            <w:r>
              <w:t>13,936</w:t>
            </w:r>
          </w:p>
        </w:tc>
      </w:tr>
      <w:tr w:rsidR="00B83890" w:rsidTr="006E6DC8">
        <w:tblPrEx>
          <w:tblCellMar>
            <w:left w:w="108" w:type="dxa"/>
            <w:right w:w="108" w:type="dxa"/>
          </w:tblCellMar>
        </w:tblPrEx>
        <w:trPr>
          <w:gridAfter w:val="1"/>
          <w:wAfter w:w="78" w:type="dxa"/>
          <w:cantSplit/>
          <w:trHeight w:val="255"/>
        </w:trPr>
        <w:tc>
          <w:tcPr>
            <w:tcW w:w="6521" w:type="dxa"/>
            <w:vAlign w:val="center"/>
          </w:tcPr>
          <w:p w:rsidR="00B83890" w:rsidRDefault="00B83890" w:rsidP="006E6DC8">
            <w:pPr>
              <w:ind w:firstLine="601"/>
            </w:pPr>
            <w:r>
              <w:t>Moreland Store</w:t>
            </w:r>
          </w:p>
        </w:tc>
        <w:tc>
          <w:tcPr>
            <w:tcW w:w="1276" w:type="dxa"/>
            <w:gridSpan w:val="2"/>
            <w:vAlign w:val="center"/>
          </w:tcPr>
          <w:p w:rsidR="00B83890" w:rsidRDefault="00B83890" w:rsidP="006E6DC8">
            <w:pPr>
              <w:jc w:val="right"/>
            </w:pPr>
            <w:r>
              <w:t>7,611</w:t>
            </w:r>
          </w:p>
        </w:tc>
        <w:tc>
          <w:tcPr>
            <w:tcW w:w="1417" w:type="dxa"/>
            <w:vAlign w:val="center"/>
          </w:tcPr>
          <w:p w:rsidR="00B83890" w:rsidRDefault="00B83890" w:rsidP="006E6DC8">
            <w:pPr>
              <w:jc w:val="right"/>
            </w:pPr>
            <w:r>
              <w:t>7,611</w:t>
            </w:r>
          </w:p>
        </w:tc>
      </w:tr>
      <w:tr w:rsidR="00B83890" w:rsidTr="006E6DC8">
        <w:tblPrEx>
          <w:tblCellMar>
            <w:left w:w="108" w:type="dxa"/>
            <w:right w:w="108" w:type="dxa"/>
          </w:tblCellMar>
        </w:tblPrEx>
        <w:trPr>
          <w:gridAfter w:val="1"/>
          <w:wAfter w:w="78" w:type="dxa"/>
          <w:cantSplit/>
          <w:trHeight w:val="255"/>
        </w:trPr>
        <w:tc>
          <w:tcPr>
            <w:tcW w:w="6521" w:type="dxa"/>
            <w:tcBorders>
              <w:bottom w:val="single" w:sz="4" w:space="0" w:color="auto"/>
            </w:tcBorders>
            <w:vAlign w:val="center"/>
          </w:tcPr>
          <w:p w:rsidR="00B83890" w:rsidRDefault="00B83890" w:rsidP="006E6DC8">
            <w:pPr>
              <w:ind w:firstLine="601"/>
            </w:pPr>
            <w:r>
              <w:t>Melbourne Museum (including IMAX)</w:t>
            </w:r>
          </w:p>
        </w:tc>
        <w:tc>
          <w:tcPr>
            <w:tcW w:w="1276" w:type="dxa"/>
            <w:gridSpan w:val="2"/>
            <w:tcBorders>
              <w:bottom w:val="single" w:sz="4" w:space="0" w:color="auto"/>
            </w:tcBorders>
            <w:vAlign w:val="center"/>
          </w:tcPr>
          <w:p w:rsidR="00B83890" w:rsidRDefault="00B83890" w:rsidP="006E6DC8">
            <w:pPr>
              <w:jc w:val="right"/>
            </w:pPr>
            <w:r>
              <w:t>298,535</w:t>
            </w:r>
          </w:p>
        </w:tc>
        <w:tc>
          <w:tcPr>
            <w:tcW w:w="1417" w:type="dxa"/>
            <w:tcBorders>
              <w:bottom w:val="single" w:sz="4" w:space="0" w:color="auto"/>
            </w:tcBorders>
            <w:vAlign w:val="center"/>
          </w:tcPr>
          <w:p w:rsidR="00B83890" w:rsidRDefault="00B83890" w:rsidP="006E6DC8">
            <w:pPr>
              <w:jc w:val="right"/>
            </w:pPr>
            <w:r>
              <w:t>298,535</w:t>
            </w:r>
          </w:p>
        </w:tc>
      </w:tr>
      <w:tr w:rsidR="00B83890" w:rsidRPr="0033495B" w:rsidTr="006E6DC8">
        <w:tblPrEx>
          <w:tblCellMar>
            <w:left w:w="108" w:type="dxa"/>
            <w:right w:w="108" w:type="dxa"/>
          </w:tblCellMar>
        </w:tblPrEx>
        <w:trPr>
          <w:gridAfter w:val="1"/>
          <w:wAfter w:w="78" w:type="dxa"/>
          <w:cantSplit/>
          <w:trHeight w:val="255"/>
        </w:trPr>
        <w:tc>
          <w:tcPr>
            <w:tcW w:w="6521" w:type="dxa"/>
            <w:tcBorders>
              <w:top w:val="single" w:sz="4" w:space="0" w:color="auto"/>
              <w:bottom w:val="single" w:sz="4" w:space="0" w:color="auto"/>
            </w:tcBorders>
            <w:vAlign w:val="center"/>
          </w:tcPr>
          <w:p w:rsidR="00B83890" w:rsidRDefault="00B83890" w:rsidP="006E6DC8">
            <w:pPr>
              <w:rPr>
                <w:b/>
              </w:rPr>
            </w:pPr>
          </w:p>
        </w:tc>
        <w:tc>
          <w:tcPr>
            <w:tcW w:w="1276" w:type="dxa"/>
            <w:gridSpan w:val="2"/>
            <w:tcBorders>
              <w:top w:val="single" w:sz="4" w:space="0" w:color="auto"/>
              <w:bottom w:val="single" w:sz="4" w:space="0" w:color="auto"/>
            </w:tcBorders>
            <w:vAlign w:val="center"/>
          </w:tcPr>
          <w:p w:rsidR="00B83890" w:rsidRPr="0033495B" w:rsidRDefault="00B83890" w:rsidP="006E6DC8">
            <w:pPr>
              <w:jc w:val="right"/>
            </w:pPr>
            <w:r>
              <w:t>538,937</w:t>
            </w:r>
          </w:p>
        </w:tc>
        <w:tc>
          <w:tcPr>
            <w:tcW w:w="1417" w:type="dxa"/>
            <w:tcBorders>
              <w:top w:val="single" w:sz="4" w:space="0" w:color="auto"/>
              <w:bottom w:val="single" w:sz="4" w:space="0" w:color="auto"/>
            </w:tcBorders>
            <w:vAlign w:val="center"/>
          </w:tcPr>
          <w:p w:rsidR="00B83890" w:rsidRPr="0033495B" w:rsidRDefault="00B83890" w:rsidP="006E6DC8">
            <w:pPr>
              <w:jc w:val="right"/>
            </w:pPr>
            <w:r>
              <w:t>538,821</w:t>
            </w:r>
          </w:p>
        </w:tc>
      </w:tr>
      <w:tr w:rsidR="00B83890" w:rsidRPr="00E2240E" w:rsidTr="006E6DC8">
        <w:tblPrEx>
          <w:tblCellMar>
            <w:left w:w="108" w:type="dxa"/>
            <w:right w:w="108" w:type="dxa"/>
          </w:tblCellMar>
        </w:tblPrEx>
        <w:trPr>
          <w:gridAfter w:val="1"/>
          <w:wAfter w:w="78" w:type="dxa"/>
          <w:cantSplit/>
          <w:trHeight w:val="255"/>
        </w:trPr>
        <w:tc>
          <w:tcPr>
            <w:tcW w:w="6521" w:type="dxa"/>
            <w:vAlign w:val="center"/>
          </w:tcPr>
          <w:p w:rsidR="00B83890" w:rsidRPr="00E2240E" w:rsidRDefault="00B83890" w:rsidP="006E6DC8">
            <w:r w:rsidRPr="00E2240E">
              <w:rPr>
                <w:b/>
              </w:rPr>
              <w:t xml:space="preserve">   Buildings at Cost</w:t>
            </w:r>
          </w:p>
        </w:tc>
        <w:tc>
          <w:tcPr>
            <w:tcW w:w="1276" w:type="dxa"/>
            <w:gridSpan w:val="2"/>
            <w:vAlign w:val="center"/>
          </w:tcPr>
          <w:p w:rsidR="00B83890" w:rsidRPr="000F7382" w:rsidRDefault="00B83890" w:rsidP="006E6DC8">
            <w:pPr>
              <w:jc w:val="right"/>
            </w:pPr>
          </w:p>
        </w:tc>
        <w:tc>
          <w:tcPr>
            <w:tcW w:w="1417" w:type="dxa"/>
            <w:vAlign w:val="center"/>
          </w:tcPr>
          <w:p w:rsidR="00B83890" w:rsidRPr="000F7382" w:rsidRDefault="00B83890" w:rsidP="006E6DC8">
            <w:pPr>
              <w:jc w:val="right"/>
            </w:pPr>
          </w:p>
        </w:tc>
      </w:tr>
      <w:tr w:rsidR="00B83890" w:rsidRPr="00E2240E" w:rsidTr="006E6DC8">
        <w:tblPrEx>
          <w:tblCellMar>
            <w:left w:w="108" w:type="dxa"/>
            <w:right w:w="108" w:type="dxa"/>
          </w:tblCellMar>
        </w:tblPrEx>
        <w:trPr>
          <w:gridAfter w:val="1"/>
          <w:wAfter w:w="78" w:type="dxa"/>
          <w:cantSplit/>
          <w:trHeight w:val="255"/>
        </w:trPr>
        <w:tc>
          <w:tcPr>
            <w:tcW w:w="6521" w:type="dxa"/>
            <w:vAlign w:val="center"/>
          </w:tcPr>
          <w:p w:rsidR="00B83890" w:rsidRPr="00E2240E" w:rsidRDefault="00B83890" w:rsidP="006E6DC8">
            <w:pPr>
              <w:ind w:firstLine="601"/>
            </w:pPr>
            <w:r w:rsidRPr="00E2240E">
              <w:t>Royal Exhibition Building</w:t>
            </w:r>
          </w:p>
        </w:tc>
        <w:tc>
          <w:tcPr>
            <w:tcW w:w="1276" w:type="dxa"/>
            <w:gridSpan w:val="2"/>
            <w:vAlign w:val="center"/>
          </w:tcPr>
          <w:p w:rsidR="00B83890" w:rsidRPr="00E2240E" w:rsidRDefault="00B83890" w:rsidP="006E6DC8">
            <w:pPr>
              <w:jc w:val="right"/>
            </w:pPr>
            <w:r>
              <w:t>0</w:t>
            </w:r>
          </w:p>
        </w:tc>
        <w:tc>
          <w:tcPr>
            <w:tcW w:w="1417" w:type="dxa"/>
            <w:vAlign w:val="center"/>
          </w:tcPr>
          <w:p w:rsidR="00B83890" w:rsidRPr="00E2240E" w:rsidRDefault="00B83890" w:rsidP="006E6DC8">
            <w:pPr>
              <w:jc w:val="right"/>
            </w:pPr>
            <w:r>
              <w:t>0</w:t>
            </w:r>
          </w:p>
        </w:tc>
      </w:tr>
      <w:tr w:rsidR="00B83890" w:rsidTr="006E6DC8">
        <w:tblPrEx>
          <w:tblCellMar>
            <w:left w:w="108" w:type="dxa"/>
            <w:right w:w="108" w:type="dxa"/>
          </w:tblCellMar>
        </w:tblPrEx>
        <w:trPr>
          <w:gridAfter w:val="1"/>
          <w:wAfter w:w="78" w:type="dxa"/>
          <w:cantSplit/>
          <w:trHeight w:val="255"/>
        </w:trPr>
        <w:tc>
          <w:tcPr>
            <w:tcW w:w="6521" w:type="dxa"/>
            <w:tcBorders>
              <w:top w:val="single" w:sz="4" w:space="0" w:color="auto"/>
            </w:tcBorders>
            <w:vAlign w:val="center"/>
          </w:tcPr>
          <w:p w:rsidR="00B83890" w:rsidRDefault="00B83890" w:rsidP="006E6DC8">
            <w:pPr>
              <w:rPr>
                <w:b/>
              </w:rPr>
            </w:pPr>
          </w:p>
        </w:tc>
        <w:tc>
          <w:tcPr>
            <w:tcW w:w="1276" w:type="dxa"/>
            <w:gridSpan w:val="2"/>
            <w:tcBorders>
              <w:top w:val="single" w:sz="4" w:space="0" w:color="auto"/>
            </w:tcBorders>
            <w:vAlign w:val="center"/>
          </w:tcPr>
          <w:p w:rsidR="00B83890" w:rsidRDefault="00B83890" w:rsidP="006E6DC8">
            <w:pPr>
              <w:jc w:val="right"/>
              <w:rPr>
                <w:b/>
              </w:rPr>
            </w:pPr>
            <w:r>
              <w:rPr>
                <w:b/>
              </w:rPr>
              <w:t>538,937</w:t>
            </w:r>
          </w:p>
        </w:tc>
        <w:tc>
          <w:tcPr>
            <w:tcW w:w="1417" w:type="dxa"/>
            <w:tcBorders>
              <w:top w:val="single" w:sz="4" w:space="0" w:color="auto"/>
            </w:tcBorders>
            <w:vAlign w:val="center"/>
          </w:tcPr>
          <w:p w:rsidR="00B83890" w:rsidRDefault="00B83890" w:rsidP="006E6DC8">
            <w:pPr>
              <w:jc w:val="right"/>
              <w:rPr>
                <w:b/>
              </w:rPr>
            </w:pPr>
            <w:r>
              <w:rPr>
                <w:b/>
              </w:rPr>
              <w:t>538,821</w:t>
            </w:r>
          </w:p>
        </w:tc>
      </w:tr>
      <w:tr w:rsidR="00B83890" w:rsidRPr="00EB4C1B" w:rsidTr="006E6DC8">
        <w:tblPrEx>
          <w:tblCellMar>
            <w:left w:w="108" w:type="dxa"/>
            <w:right w:w="108" w:type="dxa"/>
          </w:tblCellMar>
        </w:tblPrEx>
        <w:trPr>
          <w:gridAfter w:val="1"/>
          <w:wAfter w:w="78" w:type="dxa"/>
          <w:cantSplit/>
          <w:trHeight w:val="255"/>
        </w:trPr>
        <w:tc>
          <w:tcPr>
            <w:tcW w:w="6521" w:type="dxa"/>
            <w:tcBorders>
              <w:top w:val="single" w:sz="4" w:space="0" w:color="auto"/>
            </w:tcBorders>
            <w:vAlign w:val="center"/>
          </w:tcPr>
          <w:p w:rsidR="00B83890" w:rsidRPr="00EB4C1B" w:rsidRDefault="00B83890" w:rsidP="006E6DC8">
            <w:pPr>
              <w:rPr>
                <w:b/>
                <w:highlight w:val="lightGray"/>
              </w:rPr>
            </w:pPr>
          </w:p>
        </w:tc>
        <w:tc>
          <w:tcPr>
            <w:tcW w:w="1276" w:type="dxa"/>
            <w:gridSpan w:val="2"/>
            <w:tcBorders>
              <w:top w:val="single" w:sz="4" w:space="0" w:color="auto"/>
            </w:tcBorders>
            <w:vAlign w:val="center"/>
          </w:tcPr>
          <w:p w:rsidR="00B83890" w:rsidRPr="00EB4C1B" w:rsidRDefault="00B83890" w:rsidP="006E6DC8">
            <w:pPr>
              <w:spacing w:after="120"/>
              <w:jc w:val="right"/>
              <w:rPr>
                <w:b/>
                <w:highlight w:val="lightGray"/>
              </w:rPr>
            </w:pPr>
          </w:p>
        </w:tc>
        <w:tc>
          <w:tcPr>
            <w:tcW w:w="1417" w:type="dxa"/>
            <w:tcBorders>
              <w:top w:val="single" w:sz="4" w:space="0" w:color="auto"/>
            </w:tcBorders>
            <w:vAlign w:val="center"/>
          </w:tcPr>
          <w:p w:rsidR="00B83890" w:rsidRPr="00EB4C1B" w:rsidRDefault="00B83890" w:rsidP="006E6DC8">
            <w:pPr>
              <w:spacing w:after="120"/>
              <w:jc w:val="right"/>
              <w:rPr>
                <w:b/>
                <w:highlight w:val="lightGray"/>
              </w:rPr>
            </w:pPr>
          </w:p>
        </w:tc>
      </w:tr>
      <w:tr w:rsidR="00B83890" w:rsidRPr="00EB4C1B" w:rsidTr="006E6DC8">
        <w:tblPrEx>
          <w:tblCellMar>
            <w:left w:w="108" w:type="dxa"/>
            <w:right w:w="108" w:type="dxa"/>
          </w:tblCellMar>
        </w:tblPrEx>
        <w:trPr>
          <w:gridAfter w:val="1"/>
          <w:wAfter w:w="78" w:type="dxa"/>
          <w:cantSplit/>
          <w:trHeight w:val="255"/>
        </w:trPr>
        <w:tc>
          <w:tcPr>
            <w:tcW w:w="6521" w:type="dxa"/>
            <w:vAlign w:val="center"/>
          </w:tcPr>
          <w:p w:rsidR="00B83890" w:rsidRPr="0064748F" w:rsidRDefault="00B83890" w:rsidP="006E6DC8">
            <w:pPr>
              <w:pStyle w:val="Heading5"/>
              <w:spacing w:before="0"/>
            </w:pPr>
            <w:r w:rsidRPr="0064748F">
              <w:t>Less Accumulated Depreciation</w:t>
            </w:r>
          </w:p>
        </w:tc>
        <w:tc>
          <w:tcPr>
            <w:tcW w:w="1276" w:type="dxa"/>
            <w:gridSpan w:val="2"/>
            <w:vAlign w:val="center"/>
          </w:tcPr>
          <w:p w:rsidR="00B83890" w:rsidRPr="00C24A16" w:rsidRDefault="00B83890" w:rsidP="006E6DC8">
            <w:pPr>
              <w:rPr>
                <w:b/>
              </w:rPr>
            </w:pPr>
          </w:p>
        </w:tc>
        <w:tc>
          <w:tcPr>
            <w:tcW w:w="1417" w:type="dxa"/>
            <w:vAlign w:val="center"/>
          </w:tcPr>
          <w:p w:rsidR="00B83890" w:rsidRPr="00C24A16" w:rsidRDefault="00B83890" w:rsidP="006E6DC8">
            <w:pPr>
              <w:rPr>
                <w:b/>
              </w:rPr>
            </w:pPr>
          </w:p>
        </w:tc>
      </w:tr>
      <w:tr w:rsidR="00B83890" w:rsidRPr="00E2240E" w:rsidTr="006E6DC8">
        <w:tblPrEx>
          <w:tblCellMar>
            <w:left w:w="108" w:type="dxa"/>
            <w:right w:w="108" w:type="dxa"/>
          </w:tblCellMar>
        </w:tblPrEx>
        <w:trPr>
          <w:gridAfter w:val="1"/>
          <w:wAfter w:w="78" w:type="dxa"/>
          <w:cantSplit/>
          <w:trHeight w:val="255"/>
        </w:trPr>
        <w:tc>
          <w:tcPr>
            <w:tcW w:w="6521" w:type="dxa"/>
            <w:vAlign w:val="center"/>
          </w:tcPr>
          <w:p w:rsidR="00B83890" w:rsidRPr="0064748F" w:rsidRDefault="00B83890" w:rsidP="006E6DC8">
            <w:pPr>
              <w:ind w:firstLine="601"/>
              <w:rPr>
                <w:highlight w:val="yellow"/>
              </w:rPr>
            </w:pPr>
            <w:r w:rsidRPr="0064748F">
              <w:t>Former ACI site including Simcock Avenue store</w:t>
            </w:r>
          </w:p>
        </w:tc>
        <w:tc>
          <w:tcPr>
            <w:tcW w:w="1276" w:type="dxa"/>
            <w:gridSpan w:val="2"/>
            <w:vAlign w:val="center"/>
          </w:tcPr>
          <w:p w:rsidR="00B83890" w:rsidRPr="000F7382" w:rsidRDefault="00B83890" w:rsidP="006E6DC8">
            <w:pPr>
              <w:jc w:val="right"/>
            </w:pPr>
            <w:r>
              <w:t>(216)</w:t>
            </w:r>
          </w:p>
        </w:tc>
        <w:tc>
          <w:tcPr>
            <w:tcW w:w="1417" w:type="dxa"/>
            <w:vAlign w:val="center"/>
          </w:tcPr>
          <w:p w:rsidR="00B83890" w:rsidRPr="000F7382" w:rsidRDefault="00B83890" w:rsidP="006E6DC8">
            <w:pPr>
              <w:jc w:val="right"/>
            </w:pPr>
            <w:r>
              <w:t>(116)</w:t>
            </w:r>
          </w:p>
        </w:tc>
      </w:tr>
      <w:tr w:rsidR="00B83890" w:rsidRPr="00E2240E" w:rsidTr="006E6DC8">
        <w:tblPrEx>
          <w:tblCellMar>
            <w:left w:w="108" w:type="dxa"/>
            <w:right w:w="108" w:type="dxa"/>
          </w:tblCellMar>
        </w:tblPrEx>
        <w:trPr>
          <w:gridAfter w:val="1"/>
          <w:wAfter w:w="78" w:type="dxa"/>
          <w:cantSplit/>
          <w:trHeight w:val="255"/>
        </w:trPr>
        <w:tc>
          <w:tcPr>
            <w:tcW w:w="6521" w:type="dxa"/>
            <w:vAlign w:val="center"/>
          </w:tcPr>
          <w:p w:rsidR="00B83890" w:rsidRPr="00E2240E" w:rsidRDefault="00B83890" w:rsidP="006E6DC8">
            <w:pPr>
              <w:ind w:firstLine="601"/>
            </w:pPr>
            <w:r w:rsidRPr="00E2240E">
              <w:t>Royal Exhibition Building</w:t>
            </w:r>
          </w:p>
        </w:tc>
        <w:tc>
          <w:tcPr>
            <w:tcW w:w="1276" w:type="dxa"/>
            <w:gridSpan w:val="2"/>
            <w:vAlign w:val="center"/>
          </w:tcPr>
          <w:p w:rsidR="00B83890" w:rsidRPr="00E2240E" w:rsidRDefault="00B83890" w:rsidP="006E6DC8">
            <w:pPr>
              <w:jc w:val="right"/>
            </w:pPr>
            <w:r>
              <w:t>(3,666)</w:t>
            </w:r>
          </w:p>
        </w:tc>
        <w:tc>
          <w:tcPr>
            <w:tcW w:w="1417" w:type="dxa"/>
            <w:vAlign w:val="center"/>
          </w:tcPr>
          <w:p w:rsidR="00B83890" w:rsidRPr="00E2240E" w:rsidRDefault="00B83890" w:rsidP="006E6DC8">
            <w:pPr>
              <w:jc w:val="right"/>
            </w:pPr>
            <w:r>
              <w:t>(1,838)</w:t>
            </w:r>
          </w:p>
        </w:tc>
      </w:tr>
      <w:tr w:rsidR="00B83890" w:rsidRPr="00E2240E" w:rsidTr="006E6DC8">
        <w:tblPrEx>
          <w:tblCellMar>
            <w:left w:w="108" w:type="dxa"/>
            <w:right w:w="108" w:type="dxa"/>
          </w:tblCellMar>
        </w:tblPrEx>
        <w:trPr>
          <w:gridAfter w:val="1"/>
          <w:wAfter w:w="78" w:type="dxa"/>
          <w:cantSplit/>
          <w:trHeight w:val="255"/>
        </w:trPr>
        <w:tc>
          <w:tcPr>
            <w:tcW w:w="6521" w:type="dxa"/>
            <w:vAlign w:val="center"/>
          </w:tcPr>
          <w:p w:rsidR="00B83890" w:rsidRPr="00E2240E" w:rsidRDefault="00B83890" w:rsidP="006E6DC8">
            <w:pPr>
              <w:ind w:firstLine="601"/>
            </w:pPr>
            <w:r w:rsidRPr="00E2240E">
              <w:t>Immigration Museum</w:t>
            </w:r>
          </w:p>
        </w:tc>
        <w:tc>
          <w:tcPr>
            <w:tcW w:w="1276" w:type="dxa"/>
            <w:gridSpan w:val="2"/>
            <w:vAlign w:val="center"/>
          </w:tcPr>
          <w:p w:rsidR="00B83890" w:rsidRPr="00E2240E" w:rsidRDefault="00B83890" w:rsidP="006E6DC8">
            <w:pPr>
              <w:jc w:val="right"/>
            </w:pPr>
            <w:r>
              <w:t>(1,134)</w:t>
            </w:r>
          </w:p>
        </w:tc>
        <w:tc>
          <w:tcPr>
            <w:tcW w:w="1417" w:type="dxa"/>
            <w:vAlign w:val="center"/>
          </w:tcPr>
          <w:p w:rsidR="00B83890" w:rsidRPr="00E2240E" w:rsidRDefault="00B83890" w:rsidP="006E6DC8">
            <w:pPr>
              <w:jc w:val="right"/>
            </w:pPr>
            <w:r>
              <w:t>(568)</w:t>
            </w:r>
          </w:p>
        </w:tc>
      </w:tr>
      <w:tr w:rsidR="00B83890" w:rsidRPr="00E2240E" w:rsidTr="006E6DC8">
        <w:tblPrEx>
          <w:tblCellMar>
            <w:left w:w="108" w:type="dxa"/>
            <w:right w:w="108" w:type="dxa"/>
          </w:tblCellMar>
        </w:tblPrEx>
        <w:trPr>
          <w:gridAfter w:val="1"/>
          <w:wAfter w:w="78" w:type="dxa"/>
          <w:cantSplit/>
          <w:trHeight w:val="255"/>
        </w:trPr>
        <w:tc>
          <w:tcPr>
            <w:tcW w:w="6521" w:type="dxa"/>
            <w:vAlign w:val="center"/>
          </w:tcPr>
          <w:p w:rsidR="00B83890" w:rsidRPr="00E2240E" w:rsidRDefault="00B83890" w:rsidP="006E6DC8">
            <w:pPr>
              <w:ind w:firstLine="601"/>
            </w:pPr>
            <w:r w:rsidRPr="00E2240E">
              <w:t>Scienceworks</w:t>
            </w:r>
          </w:p>
        </w:tc>
        <w:tc>
          <w:tcPr>
            <w:tcW w:w="1276" w:type="dxa"/>
            <w:gridSpan w:val="2"/>
            <w:vAlign w:val="center"/>
          </w:tcPr>
          <w:p w:rsidR="00B83890" w:rsidRPr="00E2240E" w:rsidRDefault="00B83890" w:rsidP="006E6DC8">
            <w:pPr>
              <w:jc w:val="right"/>
            </w:pPr>
            <w:r>
              <w:t>(2,039)</w:t>
            </w:r>
          </w:p>
        </w:tc>
        <w:tc>
          <w:tcPr>
            <w:tcW w:w="1417" w:type="dxa"/>
            <w:vAlign w:val="center"/>
          </w:tcPr>
          <w:p w:rsidR="00B83890" w:rsidRPr="00E2240E" w:rsidRDefault="00B83890" w:rsidP="006E6DC8">
            <w:pPr>
              <w:jc w:val="right"/>
            </w:pPr>
            <w:r>
              <w:t>(1,005)</w:t>
            </w:r>
          </w:p>
        </w:tc>
      </w:tr>
      <w:tr w:rsidR="00B83890" w:rsidRPr="00E2240E" w:rsidTr="006E6DC8">
        <w:tblPrEx>
          <w:tblCellMar>
            <w:left w:w="108" w:type="dxa"/>
            <w:right w:w="108" w:type="dxa"/>
          </w:tblCellMar>
        </w:tblPrEx>
        <w:trPr>
          <w:gridAfter w:val="1"/>
          <w:wAfter w:w="78" w:type="dxa"/>
          <w:cantSplit/>
          <w:trHeight w:val="255"/>
        </w:trPr>
        <w:tc>
          <w:tcPr>
            <w:tcW w:w="6521" w:type="dxa"/>
            <w:vAlign w:val="center"/>
          </w:tcPr>
          <w:p w:rsidR="00B83890" w:rsidRPr="00E2240E" w:rsidRDefault="00B83890" w:rsidP="00751664">
            <w:pPr>
              <w:ind w:left="601"/>
            </w:pPr>
            <w:r w:rsidRPr="00E2240E">
              <w:t>Moreland Store</w:t>
            </w:r>
          </w:p>
        </w:tc>
        <w:tc>
          <w:tcPr>
            <w:tcW w:w="1276" w:type="dxa"/>
            <w:gridSpan w:val="2"/>
            <w:vAlign w:val="center"/>
          </w:tcPr>
          <w:p w:rsidR="00B83890" w:rsidRPr="00E2240E" w:rsidRDefault="00B83890" w:rsidP="006E6DC8">
            <w:pPr>
              <w:jc w:val="right"/>
            </w:pPr>
            <w:r>
              <w:t>(946)</w:t>
            </w:r>
          </w:p>
        </w:tc>
        <w:tc>
          <w:tcPr>
            <w:tcW w:w="1417" w:type="dxa"/>
            <w:vAlign w:val="center"/>
          </w:tcPr>
          <w:p w:rsidR="00B83890" w:rsidRPr="00E2240E" w:rsidRDefault="00B83890" w:rsidP="006E6DC8">
            <w:pPr>
              <w:jc w:val="right"/>
            </w:pPr>
            <w:r>
              <w:t>(492)</w:t>
            </w:r>
          </w:p>
        </w:tc>
      </w:tr>
      <w:tr w:rsidR="00B83890" w:rsidRPr="00EB4C1B" w:rsidTr="006E6DC8">
        <w:tblPrEx>
          <w:tblCellMar>
            <w:left w:w="108" w:type="dxa"/>
            <w:right w:w="108" w:type="dxa"/>
          </w:tblCellMar>
        </w:tblPrEx>
        <w:trPr>
          <w:gridAfter w:val="1"/>
          <w:wAfter w:w="78" w:type="dxa"/>
          <w:cantSplit/>
          <w:trHeight w:val="255"/>
        </w:trPr>
        <w:tc>
          <w:tcPr>
            <w:tcW w:w="6521" w:type="dxa"/>
            <w:vAlign w:val="center"/>
          </w:tcPr>
          <w:p w:rsidR="00B83890" w:rsidRPr="00E2240E" w:rsidRDefault="00B83890" w:rsidP="006E6DC8">
            <w:pPr>
              <w:ind w:firstLine="601"/>
            </w:pPr>
            <w:r w:rsidRPr="00E2240E">
              <w:t>Melbourne Museum (including IMAX)</w:t>
            </w:r>
          </w:p>
        </w:tc>
        <w:tc>
          <w:tcPr>
            <w:tcW w:w="1276" w:type="dxa"/>
            <w:gridSpan w:val="2"/>
            <w:vAlign w:val="center"/>
          </w:tcPr>
          <w:p w:rsidR="00B83890" w:rsidRPr="00E2240E" w:rsidRDefault="00B83890" w:rsidP="006E6DC8">
            <w:pPr>
              <w:jc w:val="right"/>
            </w:pPr>
            <w:r>
              <w:t>(23,183)</w:t>
            </w:r>
          </w:p>
        </w:tc>
        <w:tc>
          <w:tcPr>
            <w:tcW w:w="1417" w:type="dxa"/>
            <w:vAlign w:val="center"/>
          </w:tcPr>
          <w:p w:rsidR="00B83890" w:rsidRPr="00E2240E" w:rsidRDefault="00B83890" w:rsidP="006E6DC8">
            <w:pPr>
              <w:jc w:val="right"/>
            </w:pPr>
            <w:r>
              <w:t>(11,608)</w:t>
            </w:r>
          </w:p>
        </w:tc>
      </w:tr>
      <w:tr w:rsidR="00B83890" w:rsidRPr="00C24A16" w:rsidTr="006E6DC8">
        <w:tblPrEx>
          <w:tblCellMar>
            <w:left w:w="108" w:type="dxa"/>
            <w:right w:w="108" w:type="dxa"/>
          </w:tblCellMar>
        </w:tblPrEx>
        <w:trPr>
          <w:gridAfter w:val="1"/>
          <w:wAfter w:w="78" w:type="dxa"/>
          <w:cantSplit/>
          <w:trHeight w:val="255"/>
        </w:trPr>
        <w:tc>
          <w:tcPr>
            <w:tcW w:w="6521" w:type="dxa"/>
            <w:tcBorders>
              <w:top w:val="single" w:sz="4" w:space="0" w:color="auto"/>
              <w:bottom w:val="single" w:sz="8" w:space="0" w:color="000000"/>
            </w:tcBorders>
            <w:vAlign w:val="center"/>
          </w:tcPr>
          <w:p w:rsidR="00B83890" w:rsidRPr="00C24A16" w:rsidRDefault="00B83890" w:rsidP="006E6DC8">
            <w:pPr>
              <w:spacing w:after="120"/>
              <w:rPr>
                <w:b/>
              </w:rPr>
            </w:pPr>
          </w:p>
        </w:tc>
        <w:tc>
          <w:tcPr>
            <w:tcW w:w="1276" w:type="dxa"/>
            <w:gridSpan w:val="2"/>
            <w:tcBorders>
              <w:top w:val="single" w:sz="4" w:space="0" w:color="auto"/>
              <w:bottom w:val="single" w:sz="8" w:space="0" w:color="000000"/>
            </w:tcBorders>
            <w:vAlign w:val="center"/>
          </w:tcPr>
          <w:p w:rsidR="00B83890" w:rsidRPr="00C24A16" w:rsidRDefault="00B83890" w:rsidP="006E6DC8">
            <w:pPr>
              <w:spacing w:after="120"/>
              <w:jc w:val="right"/>
              <w:rPr>
                <w:b/>
              </w:rPr>
            </w:pPr>
            <w:r>
              <w:rPr>
                <w:b/>
              </w:rPr>
              <w:t>(31,184)</w:t>
            </w:r>
          </w:p>
        </w:tc>
        <w:tc>
          <w:tcPr>
            <w:tcW w:w="1417" w:type="dxa"/>
            <w:tcBorders>
              <w:top w:val="single" w:sz="4" w:space="0" w:color="auto"/>
              <w:bottom w:val="single" w:sz="8" w:space="0" w:color="000000"/>
            </w:tcBorders>
            <w:vAlign w:val="center"/>
          </w:tcPr>
          <w:p w:rsidR="00B83890" w:rsidRPr="00C24A16" w:rsidRDefault="00B83890" w:rsidP="006E6DC8">
            <w:pPr>
              <w:spacing w:after="120"/>
              <w:jc w:val="right"/>
              <w:rPr>
                <w:b/>
              </w:rPr>
            </w:pPr>
            <w:r>
              <w:rPr>
                <w:b/>
              </w:rPr>
              <w:t>(15,627)</w:t>
            </w:r>
          </w:p>
        </w:tc>
      </w:tr>
      <w:tr w:rsidR="00B83890" w:rsidRPr="00C24A16" w:rsidTr="006E6DC8">
        <w:tblPrEx>
          <w:tblCellMar>
            <w:left w:w="108" w:type="dxa"/>
            <w:right w:w="108" w:type="dxa"/>
          </w:tblCellMar>
        </w:tblPrEx>
        <w:trPr>
          <w:gridAfter w:val="1"/>
          <w:wAfter w:w="78" w:type="dxa"/>
          <w:cantSplit/>
          <w:trHeight w:val="255"/>
        </w:trPr>
        <w:tc>
          <w:tcPr>
            <w:tcW w:w="6521" w:type="dxa"/>
            <w:tcBorders>
              <w:top w:val="single" w:sz="8" w:space="0" w:color="000000"/>
              <w:bottom w:val="double" w:sz="2" w:space="0" w:color="auto"/>
            </w:tcBorders>
          </w:tcPr>
          <w:p w:rsidR="00B83890" w:rsidRPr="00C24A16" w:rsidRDefault="00B83890" w:rsidP="006E6DC8">
            <w:pPr>
              <w:rPr>
                <w:b/>
              </w:rPr>
            </w:pPr>
            <w:r w:rsidRPr="00C24A16">
              <w:rPr>
                <w:b/>
              </w:rPr>
              <w:t>TOTAL PROPERTY</w:t>
            </w:r>
          </w:p>
        </w:tc>
        <w:tc>
          <w:tcPr>
            <w:tcW w:w="1276" w:type="dxa"/>
            <w:gridSpan w:val="2"/>
            <w:tcBorders>
              <w:top w:val="single" w:sz="8" w:space="0" w:color="000000"/>
              <w:bottom w:val="double" w:sz="2" w:space="0" w:color="auto"/>
            </w:tcBorders>
          </w:tcPr>
          <w:p w:rsidR="00B83890" w:rsidRPr="00C24A16" w:rsidRDefault="00B83890" w:rsidP="006E6DC8">
            <w:pPr>
              <w:jc w:val="right"/>
              <w:rPr>
                <w:b/>
              </w:rPr>
            </w:pPr>
            <w:r>
              <w:rPr>
                <w:b/>
              </w:rPr>
              <w:t>507,753</w:t>
            </w:r>
          </w:p>
        </w:tc>
        <w:tc>
          <w:tcPr>
            <w:tcW w:w="1417" w:type="dxa"/>
            <w:tcBorders>
              <w:top w:val="single" w:sz="8" w:space="0" w:color="000000"/>
              <w:bottom w:val="double" w:sz="2" w:space="0" w:color="auto"/>
            </w:tcBorders>
          </w:tcPr>
          <w:p w:rsidR="00B83890" w:rsidRPr="00C24A16" w:rsidRDefault="00B83890" w:rsidP="006E6DC8">
            <w:pPr>
              <w:jc w:val="right"/>
              <w:rPr>
                <w:b/>
              </w:rPr>
            </w:pPr>
            <w:r>
              <w:rPr>
                <w:b/>
              </w:rPr>
              <w:t>523,194</w:t>
            </w:r>
          </w:p>
        </w:tc>
      </w:tr>
    </w:tbl>
    <w:p w:rsidR="00B83890" w:rsidRDefault="00B83890" w:rsidP="00B83890">
      <w:pPr>
        <w:spacing w:before="120"/>
        <w:ind w:left="720" w:hanging="578"/>
        <w:jc w:val="both"/>
        <w:rPr>
          <w:i/>
          <w:lang w:val="en-GB"/>
        </w:rPr>
      </w:pPr>
      <w:r>
        <w:rPr>
          <w:i/>
          <w:lang w:val="en-GB"/>
        </w:rPr>
        <w:t>***</w:t>
      </w:r>
      <w:r>
        <w:rPr>
          <w:i/>
          <w:lang w:val="en-GB"/>
        </w:rPr>
        <w:tab/>
      </w:r>
      <w:r w:rsidRPr="00504A60">
        <w:rPr>
          <w:i/>
          <w:lang w:val="en-GB"/>
        </w:rPr>
        <w:t xml:space="preserve">Scienceworks, Royal Exhibition Building, Moreland Store, Immigration Museum, </w:t>
      </w:r>
      <w:r w:rsidRPr="00504A60">
        <w:rPr>
          <w:i/>
        </w:rPr>
        <w:t xml:space="preserve">Melbourne Museum (including IMAX) and Former ACI Site.  </w:t>
      </w:r>
      <w:r w:rsidRPr="00504A60">
        <w:rPr>
          <w:i/>
          <w:lang w:val="en-GB"/>
        </w:rPr>
        <w:t>The Valuer-General Victoria undertook a valuation of Museum Victoria’s land and buildings at fair value in 2010</w:t>
      </w:r>
      <w:r w:rsidRPr="004C6E94">
        <w:rPr>
          <w:rFonts w:cs="Arial"/>
          <w:i/>
        </w:rPr>
        <w:t>–</w:t>
      </w:r>
      <w:r w:rsidRPr="00504A60">
        <w:rPr>
          <w:i/>
          <w:lang w:val="en-GB"/>
        </w:rPr>
        <w:t>11.  The valuation methodology for Land was based on an analysis of market based evidence and allowances for any restrictions to the marketability of the property. The valuation methodology for Buildings was based on depreciated replacement cost.</w:t>
      </w:r>
    </w:p>
    <w:p w:rsidR="00B83890" w:rsidRDefault="00B83890" w:rsidP="00B83890">
      <w:pPr>
        <w:keepNext w:val="0"/>
        <w:outlineLvl w:val="9"/>
        <w:rPr>
          <w:b/>
          <w:sz w:val="32"/>
          <w:szCs w:val="32"/>
        </w:rPr>
      </w:pPr>
      <w:r>
        <w:br w:type="page"/>
      </w:r>
    </w:p>
    <w:p w:rsidR="00B83890" w:rsidRPr="0064748F" w:rsidRDefault="00B83890" w:rsidP="00B83890">
      <w:pPr>
        <w:pStyle w:val="Heading2"/>
        <w:ind w:left="352" w:hanging="352"/>
        <w:rPr>
          <w:sz w:val="22"/>
          <w:szCs w:val="22"/>
        </w:rPr>
      </w:pPr>
      <w:r w:rsidRPr="0064748F">
        <w:rPr>
          <w:sz w:val="22"/>
          <w:szCs w:val="22"/>
        </w:rPr>
        <w:lastRenderedPageBreak/>
        <w:t>9.</w:t>
      </w:r>
      <w:r w:rsidRPr="0064748F">
        <w:rPr>
          <w:sz w:val="22"/>
          <w:szCs w:val="22"/>
        </w:rPr>
        <w:tab/>
        <w:t>NON-CURRENT PHYSICAL ASSETS (CONT’D)</w:t>
      </w:r>
    </w:p>
    <w:tbl>
      <w:tblPr>
        <w:tblW w:w="9244" w:type="dxa"/>
        <w:tblLayout w:type="fixed"/>
        <w:tblCellMar>
          <w:left w:w="30" w:type="dxa"/>
          <w:right w:w="30" w:type="dxa"/>
        </w:tblCellMar>
        <w:tblLook w:val="0000" w:firstRow="0" w:lastRow="0" w:firstColumn="0" w:lastColumn="0" w:noHBand="0" w:noVBand="0"/>
      </w:tblPr>
      <w:tblGrid>
        <w:gridCol w:w="4452"/>
        <w:gridCol w:w="2099"/>
        <w:gridCol w:w="1276"/>
        <w:gridCol w:w="1417"/>
      </w:tblGrid>
      <w:tr w:rsidR="00B83890" w:rsidRPr="00881CAB" w:rsidTr="006E6DC8">
        <w:trPr>
          <w:cantSplit/>
          <w:trHeight w:val="266"/>
        </w:trPr>
        <w:tc>
          <w:tcPr>
            <w:tcW w:w="4452" w:type="dxa"/>
            <w:vAlign w:val="center"/>
          </w:tcPr>
          <w:p w:rsidR="00B83890" w:rsidRDefault="00B83890" w:rsidP="006E6DC8">
            <w:pPr>
              <w:rPr>
                <w:b/>
                <w:color w:val="000000"/>
                <w:lang w:val="en-GB"/>
              </w:rPr>
            </w:pPr>
          </w:p>
        </w:tc>
        <w:tc>
          <w:tcPr>
            <w:tcW w:w="2099" w:type="dxa"/>
            <w:vAlign w:val="center"/>
          </w:tcPr>
          <w:p w:rsidR="00B83890" w:rsidRDefault="00B83890" w:rsidP="006E6DC8">
            <w:pPr>
              <w:jc w:val="right"/>
              <w:rPr>
                <w:color w:val="000000"/>
                <w:lang w:val="en-GB"/>
              </w:rPr>
            </w:pPr>
          </w:p>
        </w:tc>
        <w:tc>
          <w:tcPr>
            <w:tcW w:w="1276" w:type="dxa"/>
          </w:tcPr>
          <w:p w:rsidR="00B83890" w:rsidRDefault="00B83890" w:rsidP="006E6DC8">
            <w:pPr>
              <w:jc w:val="right"/>
              <w:rPr>
                <w:b/>
                <w:i/>
                <w:sz w:val="18"/>
                <w:lang w:val="en-GB"/>
              </w:rPr>
            </w:pPr>
            <w:r>
              <w:rPr>
                <w:b/>
                <w:lang w:val="en-GB"/>
              </w:rPr>
              <w:t>2013</w:t>
            </w:r>
          </w:p>
        </w:tc>
        <w:tc>
          <w:tcPr>
            <w:tcW w:w="1417" w:type="dxa"/>
          </w:tcPr>
          <w:p w:rsidR="00B83890" w:rsidRDefault="00B83890" w:rsidP="006E6DC8">
            <w:pPr>
              <w:jc w:val="right"/>
              <w:rPr>
                <w:b/>
                <w:i/>
                <w:sz w:val="18"/>
                <w:lang w:val="en-GB"/>
              </w:rPr>
            </w:pPr>
            <w:r>
              <w:rPr>
                <w:b/>
                <w:lang w:val="en-GB"/>
              </w:rPr>
              <w:t>2012</w:t>
            </w:r>
          </w:p>
        </w:tc>
      </w:tr>
      <w:tr w:rsidR="00B83890" w:rsidRPr="00881CAB" w:rsidTr="006E6DC8">
        <w:trPr>
          <w:cantSplit/>
          <w:trHeight w:val="266"/>
        </w:trPr>
        <w:tc>
          <w:tcPr>
            <w:tcW w:w="4452" w:type="dxa"/>
            <w:vAlign w:val="center"/>
          </w:tcPr>
          <w:p w:rsidR="00B83890" w:rsidRDefault="00B83890" w:rsidP="006E6DC8">
            <w:pPr>
              <w:rPr>
                <w:b/>
                <w:color w:val="000000"/>
                <w:lang w:val="en-GB"/>
              </w:rPr>
            </w:pPr>
          </w:p>
        </w:tc>
        <w:tc>
          <w:tcPr>
            <w:tcW w:w="2099" w:type="dxa"/>
            <w:vAlign w:val="center"/>
          </w:tcPr>
          <w:p w:rsidR="00B83890" w:rsidRDefault="00B83890" w:rsidP="006E6DC8">
            <w:pPr>
              <w:jc w:val="right"/>
              <w:rPr>
                <w:color w:val="000000"/>
                <w:lang w:val="en-GB"/>
              </w:rPr>
            </w:pPr>
          </w:p>
        </w:tc>
        <w:tc>
          <w:tcPr>
            <w:tcW w:w="1276" w:type="dxa"/>
          </w:tcPr>
          <w:p w:rsidR="00B83890" w:rsidRDefault="00B83890" w:rsidP="006E6DC8">
            <w:pPr>
              <w:jc w:val="right"/>
              <w:rPr>
                <w:b/>
                <w:lang w:val="en-GB"/>
              </w:rPr>
            </w:pPr>
            <w:r>
              <w:rPr>
                <w:b/>
                <w:lang w:val="en-GB"/>
              </w:rPr>
              <w:t>$,000</w:t>
            </w:r>
          </w:p>
        </w:tc>
        <w:tc>
          <w:tcPr>
            <w:tcW w:w="1417" w:type="dxa"/>
          </w:tcPr>
          <w:p w:rsidR="00B83890" w:rsidRDefault="00B83890" w:rsidP="006E6DC8">
            <w:pPr>
              <w:jc w:val="right"/>
              <w:rPr>
                <w:b/>
                <w:lang w:val="en-GB"/>
              </w:rPr>
            </w:pPr>
            <w:r>
              <w:rPr>
                <w:b/>
                <w:lang w:val="en-GB"/>
              </w:rPr>
              <w:t>$,000</w:t>
            </w:r>
          </w:p>
        </w:tc>
      </w:tr>
    </w:tbl>
    <w:p w:rsidR="00B83890" w:rsidRPr="00D605F7" w:rsidRDefault="00B83890" w:rsidP="004B1BAA">
      <w:pPr>
        <w:pStyle w:val="Heading4"/>
      </w:pPr>
      <w:r>
        <w:t>9</w:t>
      </w:r>
      <w:r w:rsidRPr="00D605F7">
        <w:t>(c) Plant</w:t>
      </w:r>
      <w:r>
        <w:t xml:space="preserve"> and</w:t>
      </w:r>
      <w:r w:rsidRPr="00D605F7">
        <w:t xml:space="preserve"> Equipment</w:t>
      </w:r>
      <w:r>
        <w:t>,</w:t>
      </w:r>
      <w:r w:rsidRPr="00D605F7">
        <w:t xml:space="preserve"> Exhibitions</w:t>
      </w:r>
      <w:r>
        <w:t xml:space="preserve"> and W.I.P.</w:t>
      </w:r>
    </w:p>
    <w:tbl>
      <w:tblPr>
        <w:tblW w:w="9214" w:type="dxa"/>
        <w:tblInd w:w="31" w:type="dxa"/>
        <w:tblLayout w:type="fixed"/>
        <w:tblCellMar>
          <w:left w:w="31" w:type="dxa"/>
          <w:right w:w="31" w:type="dxa"/>
        </w:tblCellMar>
        <w:tblLook w:val="0000" w:firstRow="0" w:lastRow="0" w:firstColumn="0" w:lastColumn="0" w:noHBand="0" w:noVBand="0"/>
        <w:tblCaption w:val="Non-Current Physical Assets"/>
        <w:tblDescription w:val="This table shows Plan and Equipment, Exhibitions and W.I.P assets for 2012–13 with comparison to 2011–12."/>
      </w:tblPr>
      <w:tblGrid>
        <w:gridCol w:w="6521"/>
        <w:gridCol w:w="1276"/>
        <w:gridCol w:w="1417"/>
      </w:tblGrid>
      <w:tr w:rsidR="00B83890" w:rsidRPr="0064748F" w:rsidTr="006E6DC8">
        <w:trPr>
          <w:cantSplit/>
          <w:trHeight w:val="255"/>
        </w:trPr>
        <w:tc>
          <w:tcPr>
            <w:tcW w:w="6521" w:type="dxa"/>
            <w:vAlign w:val="center"/>
          </w:tcPr>
          <w:p w:rsidR="00B83890" w:rsidRPr="0064748F" w:rsidRDefault="00B83890" w:rsidP="006E6DC8">
            <w:pPr>
              <w:pStyle w:val="Heading5"/>
              <w:rPr>
                <w:lang w:val="en-GB"/>
              </w:rPr>
            </w:pPr>
            <w:r w:rsidRPr="0064748F">
              <w:rPr>
                <w:lang w:val="en-GB"/>
              </w:rPr>
              <w:t xml:space="preserve">Plant and Equipment </w:t>
            </w:r>
          </w:p>
        </w:tc>
        <w:tc>
          <w:tcPr>
            <w:tcW w:w="1276" w:type="dxa"/>
            <w:vAlign w:val="center"/>
          </w:tcPr>
          <w:p w:rsidR="00B83890" w:rsidRPr="0064748F" w:rsidRDefault="00B83890" w:rsidP="006E6DC8">
            <w:pPr>
              <w:jc w:val="right"/>
              <w:rPr>
                <w:lang w:val="en-GB"/>
              </w:rPr>
            </w:pPr>
          </w:p>
        </w:tc>
        <w:tc>
          <w:tcPr>
            <w:tcW w:w="1417" w:type="dxa"/>
            <w:vAlign w:val="center"/>
          </w:tcPr>
          <w:p w:rsidR="00B83890" w:rsidRPr="0064748F" w:rsidRDefault="00B83890" w:rsidP="006E6DC8">
            <w:pPr>
              <w:jc w:val="right"/>
              <w:rPr>
                <w:lang w:val="en-GB"/>
              </w:rPr>
            </w:pPr>
          </w:p>
        </w:tc>
      </w:tr>
      <w:tr w:rsidR="00B83890" w:rsidTr="006E6DC8">
        <w:trPr>
          <w:cantSplit/>
          <w:trHeight w:val="255"/>
        </w:trPr>
        <w:tc>
          <w:tcPr>
            <w:tcW w:w="6521" w:type="dxa"/>
            <w:vAlign w:val="center"/>
          </w:tcPr>
          <w:p w:rsidR="00B83890" w:rsidRDefault="00B83890" w:rsidP="006E6DC8">
            <w:pPr>
              <w:ind w:left="720"/>
              <w:rPr>
                <w:lang w:val="en-GB"/>
              </w:rPr>
            </w:pPr>
            <w:r>
              <w:rPr>
                <w:lang w:val="en-GB"/>
              </w:rPr>
              <w:t>Plant and Equipment at Fair Value</w:t>
            </w:r>
          </w:p>
        </w:tc>
        <w:tc>
          <w:tcPr>
            <w:tcW w:w="1276" w:type="dxa"/>
            <w:vAlign w:val="center"/>
          </w:tcPr>
          <w:p w:rsidR="00B83890" w:rsidRDefault="00B83890" w:rsidP="006E6DC8">
            <w:pPr>
              <w:jc w:val="right"/>
              <w:rPr>
                <w:lang w:val="en-GB"/>
              </w:rPr>
            </w:pPr>
            <w:r>
              <w:rPr>
                <w:lang w:val="en-GB"/>
              </w:rPr>
              <w:t>24,591</w:t>
            </w:r>
          </w:p>
        </w:tc>
        <w:tc>
          <w:tcPr>
            <w:tcW w:w="1417" w:type="dxa"/>
            <w:vAlign w:val="center"/>
          </w:tcPr>
          <w:p w:rsidR="00B83890" w:rsidRDefault="00B83890" w:rsidP="006E6DC8">
            <w:pPr>
              <w:jc w:val="right"/>
              <w:rPr>
                <w:lang w:val="en-GB"/>
              </w:rPr>
            </w:pPr>
            <w:r>
              <w:rPr>
                <w:lang w:val="en-GB"/>
              </w:rPr>
              <w:t>26,460</w:t>
            </w:r>
          </w:p>
        </w:tc>
      </w:tr>
      <w:tr w:rsidR="00B83890" w:rsidTr="006E6DC8">
        <w:trPr>
          <w:cantSplit/>
          <w:trHeight w:val="255"/>
        </w:trPr>
        <w:tc>
          <w:tcPr>
            <w:tcW w:w="6521" w:type="dxa"/>
            <w:vAlign w:val="center"/>
          </w:tcPr>
          <w:p w:rsidR="00B83890" w:rsidRDefault="00B83890" w:rsidP="006E6DC8">
            <w:pPr>
              <w:ind w:left="720"/>
              <w:rPr>
                <w:lang w:val="en-GB"/>
              </w:rPr>
            </w:pPr>
            <w:r>
              <w:rPr>
                <w:lang w:val="en-GB"/>
              </w:rPr>
              <w:t>Less Accumulated Depreciation</w:t>
            </w:r>
          </w:p>
        </w:tc>
        <w:tc>
          <w:tcPr>
            <w:tcW w:w="1276" w:type="dxa"/>
            <w:vAlign w:val="center"/>
          </w:tcPr>
          <w:p w:rsidR="00B83890" w:rsidRDefault="00B83890" w:rsidP="006E6DC8">
            <w:pPr>
              <w:ind w:right="-31"/>
              <w:jc w:val="right"/>
              <w:rPr>
                <w:lang w:val="en-GB"/>
              </w:rPr>
            </w:pPr>
            <w:r>
              <w:rPr>
                <w:lang w:val="en-GB"/>
              </w:rPr>
              <w:t>(20,027)</w:t>
            </w:r>
          </w:p>
        </w:tc>
        <w:tc>
          <w:tcPr>
            <w:tcW w:w="1417" w:type="dxa"/>
            <w:vAlign w:val="center"/>
          </w:tcPr>
          <w:p w:rsidR="00B83890" w:rsidRDefault="00B83890" w:rsidP="006E6DC8">
            <w:pPr>
              <w:ind w:right="-31"/>
              <w:jc w:val="right"/>
              <w:rPr>
                <w:lang w:val="en-GB"/>
              </w:rPr>
            </w:pPr>
            <w:r>
              <w:rPr>
                <w:lang w:val="en-GB"/>
              </w:rPr>
              <w:t>(22,038)</w:t>
            </w:r>
          </w:p>
        </w:tc>
      </w:tr>
      <w:tr w:rsidR="00B83890" w:rsidTr="006E6DC8">
        <w:trPr>
          <w:cantSplit/>
          <w:trHeight w:val="197"/>
        </w:trPr>
        <w:tc>
          <w:tcPr>
            <w:tcW w:w="6521" w:type="dxa"/>
            <w:tcBorders>
              <w:top w:val="single" w:sz="4" w:space="0" w:color="auto"/>
              <w:bottom w:val="single" w:sz="4" w:space="0" w:color="auto"/>
            </w:tcBorders>
          </w:tcPr>
          <w:p w:rsidR="00B83890" w:rsidRPr="008E53D6" w:rsidRDefault="00B83890" w:rsidP="006E6DC8">
            <w:pPr>
              <w:rPr>
                <w:b/>
                <w:lang w:val="en-GB"/>
              </w:rPr>
            </w:pPr>
            <w:r w:rsidRPr="008E53D6">
              <w:rPr>
                <w:b/>
                <w:lang w:val="en-GB"/>
              </w:rPr>
              <w:t>TOTAL</w:t>
            </w:r>
            <w:r>
              <w:rPr>
                <w:b/>
                <w:lang w:val="en-GB"/>
              </w:rPr>
              <w:t xml:space="preserve"> PLANT AND EQUIPMENT</w:t>
            </w:r>
          </w:p>
        </w:tc>
        <w:tc>
          <w:tcPr>
            <w:tcW w:w="1276" w:type="dxa"/>
            <w:tcBorders>
              <w:top w:val="single" w:sz="4" w:space="0" w:color="auto"/>
              <w:bottom w:val="single" w:sz="4" w:space="0" w:color="auto"/>
            </w:tcBorders>
          </w:tcPr>
          <w:p w:rsidR="00B83890" w:rsidRDefault="00B83890" w:rsidP="006E6DC8">
            <w:pPr>
              <w:jc w:val="right"/>
              <w:rPr>
                <w:b/>
                <w:lang w:val="en-GB"/>
              </w:rPr>
            </w:pPr>
            <w:r>
              <w:rPr>
                <w:b/>
                <w:lang w:val="en-GB"/>
              </w:rPr>
              <w:t>4,563</w:t>
            </w:r>
          </w:p>
        </w:tc>
        <w:tc>
          <w:tcPr>
            <w:tcW w:w="1417" w:type="dxa"/>
            <w:tcBorders>
              <w:top w:val="single" w:sz="4" w:space="0" w:color="auto"/>
              <w:bottom w:val="single" w:sz="4" w:space="0" w:color="auto"/>
            </w:tcBorders>
          </w:tcPr>
          <w:p w:rsidR="00B83890" w:rsidRPr="008E53D6" w:rsidRDefault="00B83890" w:rsidP="006E6DC8">
            <w:pPr>
              <w:jc w:val="right"/>
              <w:rPr>
                <w:b/>
                <w:lang w:val="en-GB"/>
              </w:rPr>
            </w:pPr>
            <w:r>
              <w:rPr>
                <w:b/>
                <w:lang w:val="en-GB"/>
              </w:rPr>
              <w:t>4,422</w:t>
            </w:r>
          </w:p>
        </w:tc>
      </w:tr>
      <w:tr w:rsidR="00B83890" w:rsidTr="006E6DC8">
        <w:trPr>
          <w:cantSplit/>
          <w:trHeight w:val="255"/>
        </w:trPr>
        <w:tc>
          <w:tcPr>
            <w:tcW w:w="6521" w:type="dxa"/>
            <w:tcBorders>
              <w:top w:val="single" w:sz="4" w:space="0" w:color="auto"/>
            </w:tcBorders>
            <w:vAlign w:val="center"/>
          </w:tcPr>
          <w:p w:rsidR="00B83890" w:rsidRDefault="00B83890" w:rsidP="006E6DC8">
            <w:pPr>
              <w:rPr>
                <w:b/>
                <w:lang w:val="en-GB"/>
              </w:rPr>
            </w:pPr>
          </w:p>
        </w:tc>
        <w:tc>
          <w:tcPr>
            <w:tcW w:w="1276" w:type="dxa"/>
            <w:tcBorders>
              <w:top w:val="single" w:sz="4" w:space="0" w:color="auto"/>
            </w:tcBorders>
            <w:vAlign w:val="center"/>
          </w:tcPr>
          <w:p w:rsidR="00B83890" w:rsidRDefault="00B83890" w:rsidP="006E6DC8">
            <w:pPr>
              <w:jc w:val="right"/>
              <w:rPr>
                <w:lang w:val="en-GB"/>
              </w:rPr>
            </w:pPr>
          </w:p>
        </w:tc>
        <w:tc>
          <w:tcPr>
            <w:tcW w:w="1417" w:type="dxa"/>
            <w:tcBorders>
              <w:top w:val="single" w:sz="4" w:space="0" w:color="auto"/>
            </w:tcBorders>
            <w:vAlign w:val="center"/>
          </w:tcPr>
          <w:p w:rsidR="00B83890" w:rsidRDefault="00B83890" w:rsidP="006E6DC8">
            <w:pPr>
              <w:jc w:val="right"/>
              <w:rPr>
                <w:lang w:val="en-GB"/>
              </w:rPr>
            </w:pPr>
          </w:p>
        </w:tc>
      </w:tr>
      <w:tr w:rsidR="00B83890" w:rsidTr="006E6DC8">
        <w:trPr>
          <w:cantSplit/>
          <w:trHeight w:val="255"/>
        </w:trPr>
        <w:tc>
          <w:tcPr>
            <w:tcW w:w="6521" w:type="dxa"/>
            <w:vAlign w:val="center"/>
          </w:tcPr>
          <w:p w:rsidR="00B83890" w:rsidRPr="008E53D6" w:rsidRDefault="00B83890" w:rsidP="006E6DC8">
            <w:pPr>
              <w:rPr>
                <w:b/>
                <w:lang w:val="en-GB"/>
              </w:rPr>
            </w:pPr>
            <w:r>
              <w:rPr>
                <w:b/>
                <w:lang w:val="en-GB"/>
              </w:rPr>
              <w:t>Plant and Equipment</w:t>
            </w:r>
            <w:r w:rsidRPr="008E53D6">
              <w:rPr>
                <w:b/>
                <w:lang w:val="en-GB"/>
              </w:rPr>
              <w:t xml:space="preserve"> under </w:t>
            </w:r>
            <w:r>
              <w:rPr>
                <w:b/>
                <w:lang w:val="en-GB"/>
              </w:rPr>
              <w:t>F</w:t>
            </w:r>
            <w:r w:rsidRPr="008E53D6">
              <w:rPr>
                <w:b/>
                <w:lang w:val="en-GB"/>
              </w:rPr>
              <w:t xml:space="preserve">inance </w:t>
            </w:r>
            <w:r>
              <w:rPr>
                <w:b/>
                <w:lang w:val="en-GB"/>
              </w:rPr>
              <w:t>L</w:t>
            </w:r>
            <w:r w:rsidRPr="008E53D6">
              <w:rPr>
                <w:b/>
                <w:lang w:val="en-GB"/>
              </w:rPr>
              <w:t>ease</w:t>
            </w:r>
          </w:p>
        </w:tc>
        <w:tc>
          <w:tcPr>
            <w:tcW w:w="1276" w:type="dxa"/>
            <w:vAlign w:val="center"/>
          </w:tcPr>
          <w:p w:rsidR="00B83890" w:rsidRDefault="00B83890" w:rsidP="006E6DC8">
            <w:pPr>
              <w:jc w:val="right"/>
              <w:rPr>
                <w:lang w:val="en-GB"/>
              </w:rPr>
            </w:pPr>
          </w:p>
        </w:tc>
        <w:tc>
          <w:tcPr>
            <w:tcW w:w="1417" w:type="dxa"/>
            <w:vAlign w:val="center"/>
          </w:tcPr>
          <w:p w:rsidR="00B83890" w:rsidRDefault="00B83890" w:rsidP="006E6DC8">
            <w:pPr>
              <w:jc w:val="right"/>
              <w:rPr>
                <w:lang w:val="en-GB"/>
              </w:rPr>
            </w:pPr>
          </w:p>
        </w:tc>
      </w:tr>
      <w:tr w:rsidR="00B83890" w:rsidTr="006E6DC8">
        <w:trPr>
          <w:cantSplit/>
          <w:trHeight w:val="255"/>
        </w:trPr>
        <w:tc>
          <w:tcPr>
            <w:tcW w:w="6521" w:type="dxa"/>
            <w:vAlign w:val="center"/>
          </w:tcPr>
          <w:p w:rsidR="00B83890" w:rsidRDefault="00B83890" w:rsidP="00751664">
            <w:pPr>
              <w:ind w:left="678"/>
              <w:rPr>
                <w:lang w:val="en-GB"/>
              </w:rPr>
            </w:pPr>
            <w:r>
              <w:rPr>
                <w:lang w:val="en-GB"/>
              </w:rPr>
              <w:t>Plant and Equipment under Finance Lease at Cost</w:t>
            </w:r>
          </w:p>
        </w:tc>
        <w:tc>
          <w:tcPr>
            <w:tcW w:w="1276" w:type="dxa"/>
            <w:vAlign w:val="center"/>
          </w:tcPr>
          <w:p w:rsidR="00B83890" w:rsidRDefault="00B83890" w:rsidP="006E6DC8">
            <w:pPr>
              <w:jc w:val="right"/>
              <w:rPr>
                <w:lang w:val="en-GB"/>
              </w:rPr>
            </w:pPr>
            <w:r>
              <w:rPr>
                <w:lang w:val="en-GB"/>
              </w:rPr>
              <w:t>653</w:t>
            </w:r>
          </w:p>
        </w:tc>
        <w:tc>
          <w:tcPr>
            <w:tcW w:w="1417" w:type="dxa"/>
            <w:vAlign w:val="center"/>
          </w:tcPr>
          <w:p w:rsidR="00B83890" w:rsidRDefault="00B83890" w:rsidP="006E6DC8">
            <w:pPr>
              <w:jc w:val="right"/>
              <w:rPr>
                <w:lang w:val="en-GB"/>
              </w:rPr>
            </w:pPr>
            <w:r>
              <w:rPr>
                <w:lang w:val="en-GB"/>
              </w:rPr>
              <w:t>635</w:t>
            </w:r>
          </w:p>
        </w:tc>
      </w:tr>
      <w:tr w:rsidR="00B83890" w:rsidTr="006E6DC8">
        <w:trPr>
          <w:cantSplit/>
          <w:trHeight w:val="255"/>
        </w:trPr>
        <w:tc>
          <w:tcPr>
            <w:tcW w:w="6521" w:type="dxa"/>
            <w:vAlign w:val="center"/>
          </w:tcPr>
          <w:p w:rsidR="00B83890" w:rsidRDefault="00B83890" w:rsidP="006E6DC8">
            <w:pPr>
              <w:ind w:left="720"/>
              <w:rPr>
                <w:lang w:val="en-GB"/>
              </w:rPr>
            </w:pPr>
            <w:r>
              <w:rPr>
                <w:lang w:val="en-GB"/>
              </w:rPr>
              <w:t>Less Accumulated D</w:t>
            </w:r>
            <w:r w:rsidRPr="009341D1">
              <w:rPr>
                <w:lang w:val="en-GB"/>
              </w:rPr>
              <w:t>epreciation</w:t>
            </w:r>
          </w:p>
        </w:tc>
        <w:tc>
          <w:tcPr>
            <w:tcW w:w="1276" w:type="dxa"/>
            <w:vAlign w:val="center"/>
          </w:tcPr>
          <w:p w:rsidR="00B83890" w:rsidRDefault="00B83890" w:rsidP="006E6DC8">
            <w:pPr>
              <w:jc w:val="right"/>
              <w:rPr>
                <w:lang w:val="en-GB"/>
              </w:rPr>
            </w:pPr>
            <w:r>
              <w:rPr>
                <w:lang w:val="en-GB"/>
              </w:rPr>
              <w:t>(351)</w:t>
            </w:r>
          </w:p>
        </w:tc>
        <w:tc>
          <w:tcPr>
            <w:tcW w:w="1417" w:type="dxa"/>
            <w:vAlign w:val="center"/>
          </w:tcPr>
          <w:p w:rsidR="00B83890" w:rsidRDefault="00B83890" w:rsidP="006E6DC8">
            <w:pPr>
              <w:jc w:val="right"/>
              <w:rPr>
                <w:lang w:val="en-GB"/>
              </w:rPr>
            </w:pPr>
            <w:r>
              <w:rPr>
                <w:lang w:val="en-GB"/>
              </w:rPr>
              <w:t>(303)</w:t>
            </w:r>
          </w:p>
        </w:tc>
      </w:tr>
      <w:tr w:rsidR="00B83890" w:rsidTr="006E6DC8">
        <w:trPr>
          <w:cantSplit/>
          <w:trHeight w:val="197"/>
        </w:trPr>
        <w:tc>
          <w:tcPr>
            <w:tcW w:w="6521" w:type="dxa"/>
            <w:tcBorders>
              <w:top w:val="single" w:sz="4" w:space="0" w:color="auto"/>
              <w:bottom w:val="single" w:sz="4" w:space="0" w:color="auto"/>
            </w:tcBorders>
          </w:tcPr>
          <w:p w:rsidR="00B83890" w:rsidRPr="008E53D6" w:rsidRDefault="00B83890" w:rsidP="006E6DC8">
            <w:pPr>
              <w:rPr>
                <w:b/>
                <w:lang w:val="en-GB"/>
              </w:rPr>
            </w:pPr>
            <w:r w:rsidRPr="008E53D6">
              <w:rPr>
                <w:b/>
                <w:lang w:val="en-GB"/>
              </w:rPr>
              <w:t>TOTAL</w:t>
            </w:r>
            <w:r>
              <w:rPr>
                <w:b/>
                <w:lang w:val="en-GB"/>
              </w:rPr>
              <w:t xml:space="preserve"> PLANT AND EQUIPMENT</w:t>
            </w:r>
            <w:r w:rsidRPr="008E53D6">
              <w:rPr>
                <w:b/>
                <w:lang w:val="en-GB"/>
              </w:rPr>
              <w:t xml:space="preserve"> UNDER FINANCE LEASE</w:t>
            </w:r>
          </w:p>
        </w:tc>
        <w:tc>
          <w:tcPr>
            <w:tcW w:w="1276" w:type="dxa"/>
            <w:tcBorders>
              <w:top w:val="single" w:sz="4" w:space="0" w:color="auto"/>
              <w:bottom w:val="single" w:sz="4" w:space="0" w:color="auto"/>
            </w:tcBorders>
          </w:tcPr>
          <w:p w:rsidR="00B83890" w:rsidRDefault="00B83890" w:rsidP="006E6DC8">
            <w:pPr>
              <w:jc w:val="right"/>
              <w:rPr>
                <w:b/>
                <w:lang w:val="en-GB"/>
              </w:rPr>
            </w:pPr>
            <w:r>
              <w:rPr>
                <w:b/>
                <w:lang w:val="en-GB"/>
              </w:rPr>
              <w:t>302</w:t>
            </w:r>
          </w:p>
        </w:tc>
        <w:tc>
          <w:tcPr>
            <w:tcW w:w="1417" w:type="dxa"/>
            <w:tcBorders>
              <w:top w:val="single" w:sz="4" w:space="0" w:color="auto"/>
              <w:bottom w:val="single" w:sz="4" w:space="0" w:color="auto"/>
            </w:tcBorders>
          </w:tcPr>
          <w:p w:rsidR="00B83890" w:rsidRPr="008E53D6" w:rsidRDefault="00B83890" w:rsidP="006E6DC8">
            <w:pPr>
              <w:jc w:val="right"/>
              <w:rPr>
                <w:b/>
                <w:lang w:val="en-GB"/>
              </w:rPr>
            </w:pPr>
            <w:r>
              <w:rPr>
                <w:b/>
                <w:lang w:val="en-GB"/>
              </w:rPr>
              <w:t>332</w:t>
            </w:r>
          </w:p>
        </w:tc>
      </w:tr>
      <w:tr w:rsidR="00B83890" w:rsidTr="006E6DC8">
        <w:trPr>
          <w:cantSplit/>
          <w:trHeight w:val="197"/>
        </w:trPr>
        <w:tc>
          <w:tcPr>
            <w:tcW w:w="6521" w:type="dxa"/>
            <w:tcBorders>
              <w:bottom w:val="single" w:sz="4" w:space="0" w:color="auto"/>
            </w:tcBorders>
          </w:tcPr>
          <w:p w:rsidR="00B83890" w:rsidRDefault="00B83890" w:rsidP="006E6DC8">
            <w:pPr>
              <w:rPr>
                <w:lang w:val="en-GB"/>
              </w:rPr>
            </w:pPr>
          </w:p>
        </w:tc>
        <w:tc>
          <w:tcPr>
            <w:tcW w:w="1276" w:type="dxa"/>
            <w:tcBorders>
              <w:bottom w:val="single" w:sz="4" w:space="0" w:color="auto"/>
            </w:tcBorders>
          </w:tcPr>
          <w:p w:rsidR="00B83890" w:rsidRDefault="00B83890" w:rsidP="006E6DC8">
            <w:pPr>
              <w:jc w:val="right"/>
              <w:rPr>
                <w:lang w:val="en-GB"/>
              </w:rPr>
            </w:pPr>
          </w:p>
        </w:tc>
        <w:tc>
          <w:tcPr>
            <w:tcW w:w="1417" w:type="dxa"/>
            <w:tcBorders>
              <w:bottom w:val="single" w:sz="4" w:space="0" w:color="auto"/>
            </w:tcBorders>
          </w:tcPr>
          <w:p w:rsidR="00B83890" w:rsidRDefault="00B83890" w:rsidP="006E6DC8">
            <w:pPr>
              <w:jc w:val="right"/>
              <w:rPr>
                <w:lang w:val="en-GB"/>
              </w:rPr>
            </w:pPr>
          </w:p>
        </w:tc>
      </w:tr>
      <w:tr w:rsidR="00B83890" w:rsidTr="006E6DC8">
        <w:trPr>
          <w:cantSplit/>
          <w:trHeight w:val="197"/>
        </w:trPr>
        <w:tc>
          <w:tcPr>
            <w:tcW w:w="6521" w:type="dxa"/>
            <w:tcBorders>
              <w:top w:val="single" w:sz="4" w:space="0" w:color="auto"/>
              <w:bottom w:val="double" w:sz="4" w:space="0" w:color="auto"/>
            </w:tcBorders>
          </w:tcPr>
          <w:p w:rsidR="00B83890" w:rsidRDefault="00B83890" w:rsidP="006E6DC8">
            <w:pPr>
              <w:rPr>
                <w:lang w:val="en-GB"/>
              </w:rPr>
            </w:pPr>
            <w:r w:rsidRPr="00C02FA5">
              <w:rPr>
                <w:b/>
                <w:lang w:val="en-GB"/>
              </w:rPr>
              <w:t xml:space="preserve">TOTAL PLANT </w:t>
            </w:r>
            <w:r>
              <w:rPr>
                <w:b/>
                <w:lang w:val="en-GB"/>
              </w:rPr>
              <w:t>AND</w:t>
            </w:r>
            <w:r w:rsidRPr="00C02FA5">
              <w:rPr>
                <w:b/>
                <w:lang w:val="en-GB"/>
              </w:rPr>
              <w:t xml:space="preserve"> EQUIPMENT</w:t>
            </w:r>
          </w:p>
        </w:tc>
        <w:tc>
          <w:tcPr>
            <w:tcW w:w="1276" w:type="dxa"/>
            <w:tcBorders>
              <w:top w:val="single" w:sz="4" w:space="0" w:color="auto"/>
              <w:bottom w:val="double" w:sz="4" w:space="0" w:color="auto"/>
            </w:tcBorders>
          </w:tcPr>
          <w:p w:rsidR="00B83890" w:rsidRPr="001623A6" w:rsidRDefault="00B83890" w:rsidP="006E6DC8">
            <w:pPr>
              <w:jc w:val="right"/>
              <w:rPr>
                <w:b/>
                <w:lang w:val="en-GB"/>
              </w:rPr>
            </w:pPr>
            <w:r w:rsidRPr="001623A6">
              <w:rPr>
                <w:b/>
                <w:lang w:val="en-GB"/>
              </w:rPr>
              <w:t>4,865</w:t>
            </w:r>
          </w:p>
        </w:tc>
        <w:tc>
          <w:tcPr>
            <w:tcW w:w="1417" w:type="dxa"/>
            <w:tcBorders>
              <w:top w:val="single" w:sz="4" w:space="0" w:color="auto"/>
              <w:bottom w:val="double" w:sz="4" w:space="0" w:color="auto"/>
            </w:tcBorders>
          </w:tcPr>
          <w:p w:rsidR="00B83890" w:rsidRDefault="00B83890" w:rsidP="006E6DC8">
            <w:pPr>
              <w:jc w:val="right"/>
              <w:rPr>
                <w:lang w:val="en-GB"/>
              </w:rPr>
            </w:pPr>
            <w:r>
              <w:rPr>
                <w:b/>
                <w:lang w:val="en-GB"/>
              </w:rPr>
              <w:t>4,754</w:t>
            </w:r>
          </w:p>
        </w:tc>
      </w:tr>
      <w:tr w:rsidR="00B83890" w:rsidTr="006E6DC8">
        <w:trPr>
          <w:cantSplit/>
          <w:trHeight w:val="197"/>
        </w:trPr>
        <w:tc>
          <w:tcPr>
            <w:tcW w:w="6521" w:type="dxa"/>
            <w:tcBorders>
              <w:top w:val="double" w:sz="4" w:space="0" w:color="auto"/>
            </w:tcBorders>
            <w:vAlign w:val="center"/>
          </w:tcPr>
          <w:p w:rsidR="00B83890" w:rsidRDefault="00B83890" w:rsidP="006E6DC8">
            <w:pPr>
              <w:rPr>
                <w:lang w:val="en-GB"/>
              </w:rPr>
            </w:pPr>
          </w:p>
        </w:tc>
        <w:tc>
          <w:tcPr>
            <w:tcW w:w="1276" w:type="dxa"/>
            <w:tcBorders>
              <w:top w:val="double" w:sz="4" w:space="0" w:color="auto"/>
            </w:tcBorders>
            <w:vAlign w:val="center"/>
          </w:tcPr>
          <w:p w:rsidR="00B83890" w:rsidRDefault="00B83890" w:rsidP="006E6DC8">
            <w:pPr>
              <w:jc w:val="right"/>
              <w:rPr>
                <w:lang w:val="en-GB"/>
              </w:rPr>
            </w:pPr>
          </w:p>
        </w:tc>
        <w:tc>
          <w:tcPr>
            <w:tcW w:w="1417" w:type="dxa"/>
            <w:tcBorders>
              <w:top w:val="double" w:sz="4" w:space="0" w:color="auto"/>
            </w:tcBorders>
            <w:vAlign w:val="center"/>
          </w:tcPr>
          <w:p w:rsidR="00B83890" w:rsidRDefault="00B83890" w:rsidP="006E6DC8">
            <w:pPr>
              <w:jc w:val="right"/>
              <w:rPr>
                <w:lang w:val="en-GB"/>
              </w:rPr>
            </w:pPr>
          </w:p>
        </w:tc>
      </w:tr>
      <w:tr w:rsidR="00B83890" w:rsidTr="006E6DC8">
        <w:trPr>
          <w:cantSplit/>
          <w:trHeight w:val="206"/>
        </w:trPr>
        <w:tc>
          <w:tcPr>
            <w:tcW w:w="6521" w:type="dxa"/>
            <w:vAlign w:val="center"/>
          </w:tcPr>
          <w:p w:rsidR="00B83890" w:rsidRPr="00C02FA5" w:rsidRDefault="00B83890" w:rsidP="006E6DC8">
            <w:pPr>
              <w:rPr>
                <w:b/>
                <w:lang w:val="en-GB"/>
              </w:rPr>
            </w:pPr>
            <w:r>
              <w:rPr>
                <w:b/>
                <w:lang w:val="en-GB"/>
              </w:rPr>
              <w:t>Exhibitions</w:t>
            </w:r>
          </w:p>
        </w:tc>
        <w:tc>
          <w:tcPr>
            <w:tcW w:w="1276" w:type="dxa"/>
            <w:vAlign w:val="center"/>
          </w:tcPr>
          <w:p w:rsidR="00B83890" w:rsidRDefault="00B83890" w:rsidP="006E6DC8">
            <w:pPr>
              <w:jc w:val="right"/>
              <w:rPr>
                <w:b/>
                <w:lang w:val="en-GB"/>
              </w:rPr>
            </w:pPr>
          </w:p>
        </w:tc>
        <w:tc>
          <w:tcPr>
            <w:tcW w:w="1417" w:type="dxa"/>
            <w:vAlign w:val="center"/>
          </w:tcPr>
          <w:p w:rsidR="00B83890" w:rsidRDefault="00B83890" w:rsidP="006E6DC8">
            <w:pPr>
              <w:jc w:val="right"/>
              <w:rPr>
                <w:b/>
                <w:lang w:val="en-GB"/>
              </w:rPr>
            </w:pPr>
          </w:p>
        </w:tc>
      </w:tr>
      <w:tr w:rsidR="00B83890" w:rsidTr="006E6DC8">
        <w:trPr>
          <w:cantSplit/>
          <w:trHeight w:val="255"/>
        </w:trPr>
        <w:tc>
          <w:tcPr>
            <w:tcW w:w="6521" w:type="dxa"/>
            <w:vAlign w:val="center"/>
          </w:tcPr>
          <w:p w:rsidR="00B83890" w:rsidRDefault="00B83890" w:rsidP="006E6DC8">
            <w:pPr>
              <w:ind w:firstLine="678"/>
              <w:rPr>
                <w:b/>
                <w:i/>
                <w:lang w:val="en-GB"/>
              </w:rPr>
            </w:pPr>
            <w:r w:rsidRPr="00714FFC">
              <w:rPr>
                <w:lang w:val="en-GB"/>
              </w:rPr>
              <w:t xml:space="preserve">Melbourne Museum at </w:t>
            </w:r>
            <w:r>
              <w:rPr>
                <w:lang w:val="en-GB"/>
              </w:rPr>
              <w:t>Fair Value</w:t>
            </w:r>
          </w:p>
        </w:tc>
        <w:tc>
          <w:tcPr>
            <w:tcW w:w="1276" w:type="dxa"/>
            <w:vAlign w:val="center"/>
          </w:tcPr>
          <w:p w:rsidR="00B83890" w:rsidRPr="001623A6" w:rsidRDefault="00B83890" w:rsidP="006E6DC8">
            <w:pPr>
              <w:jc w:val="right"/>
              <w:rPr>
                <w:lang w:val="en-GB"/>
              </w:rPr>
            </w:pPr>
            <w:r w:rsidRPr="001623A6">
              <w:rPr>
                <w:lang w:val="en-GB"/>
              </w:rPr>
              <w:t>59,322</w:t>
            </w:r>
          </w:p>
        </w:tc>
        <w:tc>
          <w:tcPr>
            <w:tcW w:w="1417" w:type="dxa"/>
            <w:vAlign w:val="center"/>
          </w:tcPr>
          <w:p w:rsidR="00B83890" w:rsidRDefault="00B83890" w:rsidP="006E6DC8">
            <w:pPr>
              <w:jc w:val="right"/>
              <w:rPr>
                <w:b/>
                <w:lang w:val="en-GB"/>
              </w:rPr>
            </w:pPr>
            <w:r>
              <w:rPr>
                <w:lang w:val="en-GB"/>
              </w:rPr>
              <w:t>59,320</w:t>
            </w:r>
          </w:p>
        </w:tc>
      </w:tr>
      <w:tr w:rsidR="00B83890" w:rsidTr="006E6DC8">
        <w:trPr>
          <w:cantSplit/>
          <w:trHeight w:val="255"/>
        </w:trPr>
        <w:tc>
          <w:tcPr>
            <w:tcW w:w="6521" w:type="dxa"/>
            <w:vAlign w:val="center"/>
          </w:tcPr>
          <w:p w:rsidR="00B83890" w:rsidRDefault="00B83890" w:rsidP="006E6DC8">
            <w:pPr>
              <w:ind w:firstLine="678"/>
              <w:rPr>
                <w:b/>
                <w:lang w:val="en-GB"/>
              </w:rPr>
            </w:pPr>
            <w:r w:rsidRPr="00714FFC">
              <w:rPr>
                <w:lang w:val="en-GB"/>
              </w:rPr>
              <w:t xml:space="preserve">Less </w:t>
            </w:r>
            <w:r>
              <w:rPr>
                <w:lang w:val="en-GB"/>
              </w:rPr>
              <w:t>A</w:t>
            </w:r>
            <w:r w:rsidRPr="00714FFC">
              <w:rPr>
                <w:lang w:val="en-GB"/>
              </w:rPr>
              <w:t xml:space="preserve">ccumulated </w:t>
            </w:r>
            <w:r>
              <w:rPr>
                <w:lang w:val="en-GB"/>
              </w:rPr>
              <w:t>D</w:t>
            </w:r>
            <w:r w:rsidRPr="00714FFC">
              <w:rPr>
                <w:lang w:val="en-GB"/>
              </w:rPr>
              <w:t>epreciation</w:t>
            </w:r>
          </w:p>
        </w:tc>
        <w:tc>
          <w:tcPr>
            <w:tcW w:w="1276" w:type="dxa"/>
            <w:vAlign w:val="center"/>
          </w:tcPr>
          <w:p w:rsidR="00B83890" w:rsidRDefault="00B83890" w:rsidP="006E6DC8">
            <w:pPr>
              <w:jc w:val="right"/>
              <w:rPr>
                <w:lang w:val="en-GB"/>
              </w:rPr>
            </w:pPr>
            <w:r>
              <w:rPr>
                <w:lang w:val="en-GB"/>
              </w:rPr>
              <w:t>(57,915)</w:t>
            </w:r>
          </w:p>
        </w:tc>
        <w:tc>
          <w:tcPr>
            <w:tcW w:w="1417" w:type="dxa"/>
            <w:vAlign w:val="center"/>
          </w:tcPr>
          <w:p w:rsidR="00B83890" w:rsidRDefault="00B83890" w:rsidP="006E6DC8">
            <w:pPr>
              <w:jc w:val="right"/>
              <w:rPr>
                <w:lang w:val="en-GB"/>
              </w:rPr>
            </w:pPr>
            <w:r>
              <w:rPr>
                <w:lang w:val="en-GB"/>
              </w:rPr>
              <w:t>(56,188)</w:t>
            </w:r>
          </w:p>
        </w:tc>
      </w:tr>
      <w:tr w:rsidR="00B83890" w:rsidTr="006E6DC8">
        <w:trPr>
          <w:cantSplit/>
          <w:trHeight w:val="255"/>
        </w:trPr>
        <w:tc>
          <w:tcPr>
            <w:tcW w:w="6521" w:type="dxa"/>
            <w:vAlign w:val="center"/>
          </w:tcPr>
          <w:p w:rsidR="00B83890" w:rsidRPr="00714FFC" w:rsidRDefault="00B83890" w:rsidP="006E6DC8">
            <w:pPr>
              <w:ind w:left="720"/>
              <w:rPr>
                <w:lang w:val="en-GB"/>
              </w:rPr>
            </w:pPr>
          </w:p>
        </w:tc>
        <w:tc>
          <w:tcPr>
            <w:tcW w:w="1276" w:type="dxa"/>
            <w:vAlign w:val="center"/>
          </w:tcPr>
          <w:p w:rsidR="00B83890" w:rsidRPr="00714FFC" w:rsidRDefault="00B83890" w:rsidP="006E6DC8">
            <w:pPr>
              <w:jc w:val="right"/>
              <w:rPr>
                <w:lang w:val="en-GB"/>
              </w:rPr>
            </w:pPr>
          </w:p>
        </w:tc>
        <w:tc>
          <w:tcPr>
            <w:tcW w:w="1417" w:type="dxa"/>
            <w:vAlign w:val="center"/>
          </w:tcPr>
          <w:p w:rsidR="00B83890" w:rsidRPr="00714FFC" w:rsidRDefault="00B83890" w:rsidP="006E6DC8">
            <w:pPr>
              <w:jc w:val="right"/>
              <w:rPr>
                <w:lang w:val="en-GB"/>
              </w:rPr>
            </w:pPr>
          </w:p>
        </w:tc>
      </w:tr>
      <w:tr w:rsidR="00B83890" w:rsidTr="00751664">
        <w:trPr>
          <w:cantSplit/>
          <w:trHeight w:val="255"/>
        </w:trPr>
        <w:tc>
          <w:tcPr>
            <w:tcW w:w="6521" w:type="dxa"/>
            <w:vAlign w:val="center"/>
          </w:tcPr>
          <w:p w:rsidR="00B83890" w:rsidRPr="00714FFC" w:rsidRDefault="00B83890" w:rsidP="006E6DC8">
            <w:pPr>
              <w:ind w:firstLine="678"/>
              <w:rPr>
                <w:lang w:val="en-GB"/>
              </w:rPr>
            </w:pPr>
            <w:r w:rsidRPr="00714FFC">
              <w:rPr>
                <w:lang w:val="en-GB"/>
              </w:rPr>
              <w:t xml:space="preserve">Scienceworks at </w:t>
            </w:r>
            <w:r>
              <w:rPr>
                <w:lang w:val="en-GB"/>
              </w:rPr>
              <w:t>Fair Value</w:t>
            </w:r>
          </w:p>
        </w:tc>
        <w:tc>
          <w:tcPr>
            <w:tcW w:w="1276" w:type="dxa"/>
            <w:vAlign w:val="center"/>
          </w:tcPr>
          <w:p w:rsidR="00B83890" w:rsidRDefault="00B83890" w:rsidP="00751664">
            <w:pPr>
              <w:jc w:val="right"/>
              <w:rPr>
                <w:lang w:val="en-GB"/>
              </w:rPr>
            </w:pPr>
            <w:r>
              <w:rPr>
                <w:lang w:val="en-GB"/>
              </w:rPr>
              <w:t xml:space="preserve"> 3,616</w:t>
            </w:r>
          </w:p>
        </w:tc>
        <w:tc>
          <w:tcPr>
            <w:tcW w:w="1417" w:type="dxa"/>
            <w:vAlign w:val="center"/>
          </w:tcPr>
          <w:p w:rsidR="00B83890" w:rsidRDefault="00B83890" w:rsidP="00751664">
            <w:pPr>
              <w:ind w:right="-31"/>
              <w:jc w:val="right"/>
              <w:rPr>
                <w:lang w:val="en-GB"/>
              </w:rPr>
            </w:pPr>
            <w:r>
              <w:rPr>
                <w:lang w:val="en-GB"/>
              </w:rPr>
              <w:t xml:space="preserve">  3,622</w:t>
            </w:r>
          </w:p>
        </w:tc>
      </w:tr>
      <w:tr w:rsidR="00B83890" w:rsidTr="006E6DC8">
        <w:trPr>
          <w:cantSplit/>
          <w:trHeight w:val="255"/>
        </w:trPr>
        <w:tc>
          <w:tcPr>
            <w:tcW w:w="6521" w:type="dxa"/>
            <w:vAlign w:val="center"/>
          </w:tcPr>
          <w:p w:rsidR="00B83890" w:rsidRPr="00714FFC" w:rsidRDefault="00B83890" w:rsidP="006E6DC8">
            <w:pPr>
              <w:ind w:firstLine="678"/>
              <w:rPr>
                <w:lang w:val="en-GB"/>
              </w:rPr>
            </w:pPr>
            <w:r w:rsidRPr="00714FFC">
              <w:rPr>
                <w:lang w:val="en-GB"/>
              </w:rPr>
              <w:t xml:space="preserve">Less </w:t>
            </w:r>
            <w:r>
              <w:rPr>
                <w:lang w:val="en-GB"/>
              </w:rPr>
              <w:t>A</w:t>
            </w:r>
            <w:r w:rsidRPr="00714FFC">
              <w:rPr>
                <w:lang w:val="en-GB"/>
              </w:rPr>
              <w:t xml:space="preserve">ccumulated </w:t>
            </w:r>
            <w:r>
              <w:rPr>
                <w:lang w:val="en-GB"/>
              </w:rPr>
              <w:t>D</w:t>
            </w:r>
            <w:r w:rsidRPr="00714FFC">
              <w:rPr>
                <w:lang w:val="en-GB"/>
              </w:rPr>
              <w:t>epreciation</w:t>
            </w:r>
          </w:p>
        </w:tc>
        <w:tc>
          <w:tcPr>
            <w:tcW w:w="1276" w:type="dxa"/>
            <w:vAlign w:val="center"/>
          </w:tcPr>
          <w:p w:rsidR="00B83890" w:rsidRPr="00714FFC" w:rsidRDefault="00B83890" w:rsidP="006E6DC8">
            <w:pPr>
              <w:jc w:val="right"/>
              <w:rPr>
                <w:lang w:val="en-GB"/>
              </w:rPr>
            </w:pPr>
            <w:r>
              <w:rPr>
                <w:lang w:val="en-GB"/>
              </w:rPr>
              <w:t>(3,609)</w:t>
            </w:r>
          </w:p>
        </w:tc>
        <w:tc>
          <w:tcPr>
            <w:tcW w:w="1417" w:type="dxa"/>
            <w:vAlign w:val="center"/>
          </w:tcPr>
          <w:p w:rsidR="00B83890" w:rsidRPr="00714FFC" w:rsidRDefault="00B83890" w:rsidP="006E6DC8">
            <w:pPr>
              <w:jc w:val="right"/>
              <w:rPr>
                <w:lang w:val="en-GB"/>
              </w:rPr>
            </w:pPr>
            <w:r>
              <w:rPr>
                <w:lang w:val="en-GB"/>
              </w:rPr>
              <w:t>(3,565)</w:t>
            </w:r>
          </w:p>
        </w:tc>
      </w:tr>
      <w:tr w:rsidR="00B83890" w:rsidTr="006E6DC8">
        <w:trPr>
          <w:cantSplit/>
          <w:trHeight w:val="255"/>
        </w:trPr>
        <w:tc>
          <w:tcPr>
            <w:tcW w:w="6521" w:type="dxa"/>
            <w:vAlign w:val="center"/>
          </w:tcPr>
          <w:p w:rsidR="00B83890" w:rsidRPr="00714FFC" w:rsidRDefault="00B83890" w:rsidP="006E6DC8">
            <w:pPr>
              <w:ind w:left="720"/>
              <w:rPr>
                <w:lang w:val="en-GB"/>
              </w:rPr>
            </w:pPr>
          </w:p>
        </w:tc>
        <w:tc>
          <w:tcPr>
            <w:tcW w:w="1276" w:type="dxa"/>
            <w:vAlign w:val="center"/>
          </w:tcPr>
          <w:p w:rsidR="00B83890" w:rsidRPr="00714FFC" w:rsidRDefault="00B83890" w:rsidP="006E6DC8">
            <w:pPr>
              <w:jc w:val="right"/>
              <w:rPr>
                <w:lang w:val="en-GB"/>
              </w:rPr>
            </w:pPr>
          </w:p>
        </w:tc>
        <w:tc>
          <w:tcPr>
            <w:tcW w:w="1417" w:type="dxa"/>
            <w:vAlign w:val="center"/>
          </w:tcPr>
          <w:p w:rsidR="00B83890" w:rsidRPr="00714FFC" w:rsidRDefault="00B83890" w:rsidP="006E6DC8">
            <w:pPr>
              <w:jc w:val="right"/>
              <w:rPr>
                <w:lang w:val="en-GB"/>
              </w:rPr>
            </w:pPr>
          </w:p>
        </w:tc>
      </w:tr>
      <w:tr w:rsidR="00B83890" w:rsidTr="006E6DC8">
        <w:trPr>
          <w:cantSplit/>
          <w:trHeight w:val="255"/>
        </w:trPr>
        <w:tc>
          <w:tcPr>
            <w:tcW w:w="6521" w:type="dxa"/>
            <w:vAlign w:val="center"/>
          </w:tcPr>
          <w:p w:rsidR="00B83890" w:rsidRPr="00714FFC" w:rsidRDefault="00B83890" w:rsidP="006E6DC8">
            <w:pPr>
              <w:ind w:firstLine="678"/>
              <w:rPr>
                <w:lang w:val="en-GB"/>
              </w:rPr>
            </w:pPr>
            <w:r w:rsidRPr="00714FFC">
              <w:rPr>
                <w:lang w:val="en-GB"/>
              </w:rPr>
              <w:t xml:space="preserve">Immigration Museum at </w:t>
            </w:r>
            <w:r>
              <w:rPr>
                <w:lang w:val="en-GB"/>
              </w:rPr>
              <w:t>Fair Value</w:t>
            </w:r>
          </w:p>
        </w:tc>
        <w:tc>
          <w:tcPr>
            <w:tcW w:w="1276" w:type="dxa"/>
            <w:vAlign w:val="center"/>
          </w:tcPr>
          <w:p w:rsidR="00B83890" w:rsidRDefault="00B83890" w:rsidP="006E6DC8">
            <w:pPr>
              <w:jc w:val="right"/>
              <w:rPr>
                <w:lang w:val="en-GB"/>
              </w:rPr>
            </w:pPr>
            <w:r>
              <w:rPr>
                <w:lang w:val="en-GB"/>
              </w:rPr>
              <w:t>5,327</w:t>
            </w:r>
          </w:p>
        </w:tc>
        <w:tc>
          <w:tcPr>
            <w:tcW w:w="1417" w:type="dxa"/>
            <w:vAlign w:val="center"/>
          </w:tcPr>
          <w:p w:rsidR="00B83890" w:rsidRDefault="00B83890" w:rsidP="006E6DC8">
            <w:pPr>
              <w:jc w:val="right"/>
              <w:rPr>
                <w:lang w:val="en-GB"/>
              </w:rPr>
            </w:pPr>
            <w:r>
              <w:rPr>
                <w:lang w:val="en-GB"/>
              </w:rPr>
              <w:t>5,327</w:t>
            </w:r>
          </w:p>
        </w:tc>
      </w:tr>
      <w:tr w:rsidR="00B83890" w:rsidTr="006E6DC8">
        <w:trPr>
          <w:cantSplit/>
          <w:trHeight w:val="255"/>
        </w:trPr>
        <w:tc>
          <w:tcPr>
            <w:tcW w:w="6521" w:type="dxa"/>
            <w:vAlign w:val="center"/>
          </w:tcPr>
          <w:p w:rsidR="00B83890" w:rsidRPr="00714FFC" w:rsidRDefault="00B83890" w:rsidP="006E6DC8">
            <w:pPr>
              <w:ind w:firstLine="678"/>
              <w:rPr>
                <w:lang w:val="en-GB"/>
              </w:rPr>
            </w:pPr>
            <w:r w:rsidRPr="00714FFC">
              <w:rPr>
                <w:lang w:val="en-GB"/>
              </w:rPr>
              <w:t xml:space="preserve">Less </w:t>
            </w:r>
            <w:r>
              <w:rPr>
                <w:lang w:val="en-GB"/>
              </w:rPr>
              <w:t>A</w:t>
            </w:r>
            <w:r w:rsidRPr="00714FFC">
              <w:rPr>
                <w:lang w:val="en-GB"/>
              </w:rPr>
              <w:t xml:space="preserve">ccumulated </w:t>
            </w:r>
            <w:r>
              <w:rPr>
                <w:lang w:val="en-GB"/>
              </w:rPr>
              <w:t>D</w:t>
            </w:r>
            <w:r w:rsidRPr="00714FFC">
              <w:rPr>
                <w:lang w:val="en-GB"/>
              </w:rPr>
              <w:t>epreciation</w:t>
            </w:r>
          </w:p>
        </w:tc>
        <w:tc>
          <w:tcPr>
            <w:tcW w:w="1276" w:type="dxa"/>
            <w:vAlign w:val="center"/>
          </w:tcPr>
          <w:p w:rsidR="00B83890" w:rsidRPr="00714FFC" w:rsidRDefault="00B83890" w:rsidP="006E6DC8">
            <w:pPr>
              <w:jc w:val="right"/>
              <w:rPr>
                <w:lang w:val="en-GB"/>
              </w:rPr>
            </w:pPr>
            <w:r>
              <w:rPr>
                <w:lang w:val="en-GB"/>
              </w:rPr>
              <w:t>(5,152)</w:t>
            </w:r>
          </w:p>
        </w:tc>
        <w:tc>
          <w:tcPr>
            <w:tcW w:w="1417" w:type="dxa"/>
            <w:vAlign w:val="center"/>
          </w:tcPr>
          <w:p w:rsidR="00B83890" w:rsidRPr="00714FFC" w:rsidRDefault="00B83890" w:rsidP="006E6DC8">
            <w:pPr>
              <w:jc w:val="right"/>
              <w:rPr>
                <w:lang w:val="en-GB"/>
              </w:rPr>
            </w:pPr>
            <w:r>
              <w:rPr>
                <w:lang w:val="en-GB"/>
              </w:rPr>
              <w:t>(5,006)</w:t>
            </w:r>
          </w:p>
        </w:tc>
      </w:tr>
      <w:tr w:rsidR="00B83890" w:rsidTr="006E6DC8">
        <w:trPr>
          <w:cantSplit/>
          <w:trHeight w:val="255"/>
        </w:trPr>
        <w:tc>
          <w:tcPr>
            <w:tcW w:w="6521" w:type="dxa"/>
            <w:tcBorders>
              <w:top w:val="single" w:sz="4" w:space="0" w:color="auto"/>
              <w:bottom w:val="single" w:sz="4" w:space="0" w:color="auto"/>
            </w:tcBorders>
          </w:tcPr>
          <w:p w:rsidR="00B83890" w:rsidRPr="00714FFC" w:rsidRDefault="00B83890" w:rsidP="006E6DC8">
            <w:pPr>
              <w:rPr>
                <w:lang w:val="en-GB"/>
              </w:rPr>
            </w:pPr>
            <w:r w:rsidRPr="00714FFC">
              <w:rPr>
                <w:b/>
                <w:lang w:val="en-GB"/>
              </w:rPr>
              <w:t>TOTAL EXHIBITIONS</w:t>
            </w:r>
          </w:p>
        </w:tc>
        <w:tc>
          <w:tcPr>
            <w:tcW w:w="1276" w:type="dxa"/>
            <w:tcBorders>
              <w:top w:val="single" w:sz="4" w:space="0" w:color="auto"/>
              <w:bottom w:val="single" w:sz="4" w:space="0" w:color="auto"/>
            </w:tcBorders>
          </w:tcPr>
          <w:p w:rsidR="00B83890" w:rsidRPr="001623A6" w:rsidRDefault="00B83890" w:rsidP="006E6DC8">
            <w:pPr>
              <w:jc w:val="right"/>
              <w:rPr>
                <w:b/>
                <w:lang w:val="en-GB"/>
              </w:rPr>
            </w:pPr>
            <w:r w:rsidRPr="001623A6">
              <w:rPr>
                <w:b/>
                <w:lang w:val="en-GB"/>
              </w:rPr>
              <w:t>1,589</w:t>
            </w:r>
          </w:p>
        </w:tc>
        <w:tc>
          <w:tcPr>
            <w:tcW w:w="1417" w:type="dxa"/>
            <w:tcBorders>
              <w:top w:val="single" w:sz="4" w:space="0" w:color="auto"/>
              <w:bottom w:val="single" w:sz="4" w:space="0" w:color="auto"/>
            </w:tcBorders>
          </w:tcPr>
          <w:p w:rsidR="00B83890" w:rsidRPr="00714FFC" w:rsidRDefault="00B83890" w:rsidP="006E6DC8">
            <w:pPr>
              <w:jc w:val="right"/>
              <w:rPr>
                <w:lang w:val="en-GB"/>
              </w:rPr>
            </w:pPr>
            <w:r>
              <w:rPr>
                <w:b/>
                <w:lang w:val="en-GB"/>
              </w:rPr>
              <w:t>3,510</w:t>
            </w:r>
          </w:p>
        </w:tc>
      </w:tr>
      <w:tr w:rsidR="00B83890" w:rsidTr="006E6DC8">
        <w:trPr>
          <w:cantSplit/>
          <w:trHeight w:val="255"/>
        </w:trPr>
        <w:tc>
          <w:tcPr>
            <w:tcW w:w="6521" w:type="dxa"/>
            <w:tcBorders>
              <w:top w:val="single" w:sz="4" w:space="0" w:color="auto"/>
            </w:tcBorders>
            <w:vAlign w:val="center"/>
          </w:tcPr>
          <w:p w:rsidR="00B83890" w:rsidRPr="00714FFC" w:rsidRDefault="00B83890" w:rsidP="006E6DC8">
            <w:pPr>
              <w:pStyle w:val="total"/>
              <w:rPr>
                <w:color w:val="auto"/>
                <w:sz w:val="20"/>
              </w:rPr>
            </w:pPr>
          </w:p>
        </w:tc>
        <w:tc>
          <w:tcPr>
            <w:tcW w:w="1276" w:type="dxa"/>
            <w:tcBorders>
              <w:top w:val="single" w:sz="4" w:space="0" w:color="auto"/>
            </w:tcBorders>
            <w:vAlign w:val="center"/>
          </w:tcPr>
          <w:p w:rsidR="00B83890" w:rsidRPr="00714FFC" w:rsidRDefault="00B83890" w:rsidP="006E6DC8">
            <w:pPr>
              <w:jc w:val="right"/>
              <w:rPr>
                <w:b/>
                <w:lang w:val="en-GB"/>
              </w:rPr>
            </w:pPr>
          </w:p>
        </w:tc>
        <w:tc>
          <w:tcPr>
            <w:tcW w:w="1417" w:type="dxa"/>
            <w:tcBorders>
              <w:top w:val="single" w:sz="4" w:space="0" w:color="auto"/>
            </w:tcBorders>
            <w:vAlign w:val="center"/>
          </w:tcPr>
          <w:p w:rsidR="00B83890" w:rsidRPr="00714FFC" w:rsidRDefault="00B83890" w:rsidP="006E6DC8">
            <w:pPr>
              <w:jc w:val="right"/>
              <w:rPr>
                <w:b/>
                <w:lang w:val="en-GB"/>
              </w:rPr>
            </w:pPr>
          </w:p>
        </w:tc>
      </w:tr>
      <w:tr w:rsidR="00B83890" w:rsidTr="006E6DC8">
        <w:trPr>
          <w:cantSplit/>
          <w:trHeight w:val="206"/>
        </w:trPr>
        <w:tc>
          <w:tcPr>
            <w:tcW w:w="6521" w:type="dxa"/>
            <w:vAlign w:val="center"/>
          </w:tcPr>
          <w:p w:rsidR="00B83890" w:rsidRPr="002670D4" w:rsidRDefault="00B83890" w:rsidP="006E6DC8">
            <w:pPr>
              <w:rPr>
                <w:b/>
              </w:rPr>
            </w:pPr>
            <w:r w:rsidRPr="008E5560">
              <w:rPr>
                <w:b/>
                <w:lang w:val="en-GB"/>
              </w:rPr>
              <w:t>Works in Progress  - W.I.P.</w:t>
            </w:r>
          </w:p>
        </w:tc>
        <w:tc>
          <w:tcPr>
            <w:tcW w:w="1276" w:type="dxa"/>
            <w:vAlign w:val="center"/>
          </w:tcPr>
          <w:p w:rsidR="00B83890" w:rsidRPr="00714FFC" w:rsidRDefault="00B83890" w:rsidP="006E6DC8">
            <w:pPr>
              <w:jc w:val="right"/>
              <w:rPr>
                <w:b/>
                <w:lang w:val="en-GB"/>
              </w:rPr>
            </w:pPr>
          </w:p>
        </w:tc>
        <w:tc>
          <w:tcPr>
            <w:tcW w:w="1417" w:type="dxa"/>
            <w:vAlign w:val="center"/>
          </w:tcPr>
          <w:p w:rsidR="00B83890" w:rsidRPr="00714FFC" w:rsidRDefault="00B83890" w:rsidP="006E6DC8">
            <w:pPr>
              <w:jc w:val="right"/>
              <w:rPr>
                <w:b/>
                <w:lang w:val="en-GB"/>
              </w:rPr>
            </w:pPr>
          </w:p>
        </w:tc>
      </w:tr>
      <w:tr w:rsidR="00B83890" w:rsidTr="006E6DC8">
        <w:trPr>
          <w:cantSplit/>
          <w:trHeight w:val="255"/>
        </w:trPr>
        <w:tc>
          <w:tcPr>
            <w:tcW w:w="6521" w:type="dxa"/>
            <w:vAlign w:val="center"/>
          </w:tcPr>
          <w:p w:rsidR="00B83890" w:rsidRPr="00714FFC" w:rsidRDefault="00B83890" w:rsidP="006E6DC8">
            <w:pPr>
              <w:ind w:firstLine="678"/>
              <w:rPr>
                <w:b/>
                <w:lang w:val="en-GB"/>
              </w:rPr>
            </w:pPr>
            <w:r w:rsidRPr="00714FFC">
              <w:rPr>
                <w:lang w:val="en-GB"/>
              </w:rPr>
              <w:t>Exhibitions</w:t>
            </w:r>
            <w:r>
              <w:rPr>
                <w:lang w:val="en-GB"/>
              </w:rPr>
              <w:t xml:space="preserve"> at Cost</w:t>
            </w:r>
          </w:p>
        </w:tc>
        <w:tc>
          <w:tcPr>
            <w:tcW w:w="1276" w:type="dxa"/>
            <w:vAlign w:val="center"/>
          </w:tcPr>
          <w:p w:rsidR="00B83890" w:rsidRPr="001623A6" w:rsidRDefault="00B83890" w:rsidP="006E6DC8">
            <w:pPr>
              <w:jc w:val="right"/>
              <w:rPr>
                <w:lang w:val="en-GB"/>
              </w:rPr>
            </w:pPr>
            <w:r w:rsidRPr="001623A6">
              <w:rPr>
                <w:lang w:val="en-GB"/>
              </w:rPr>
              <w:t>340</w:t>
            </w:r>
          </w:p>
        </w:tc>
        <w:tc>
          <w:tcPr>
            <w:tcW w:w="1417" w:type="dxa"/>
            <w:vAlign w:val="center"/>
          </w:tcPr>
          <w:p w:rsidR="00B83890" w:rsidRPr="00714FFC" w:rsidRDefault="00B83890" w:rsidP="006E6DC8">
            <w:pPr>
              <w:jc w:val="right"/>
              <w:rPr>
                <w:b/>
                <w:lang w:val="en-GB"/>
              </w:rPr>
            </w:pPr>
            <w:r>
              <w:rPr>
                <w:lang w:val="en-GB"/>
              </w:rPr>
              <w:t>96</w:t>
            </w:r>
          </w:p>
        </w:tc>
      </w:tr>
      <w:tr w:rsidR="00B83890" w:rsidTr="006E6DC8">
        <w:trPr>
          <w:cantSplit/>
          <w:trHeight w:val="255"/>
        </w:trPr>
        <w:tc>
          <w:tcPr>
            <w:tcW w:w="6521" w:type="dxa"/>
            <w:tcBorders>
              <w:bottom w:val="single" w:sz="8" w:space="0" w:color="000000"/>
            </w:tcBorders>
            <w:vAlign w:val="center"/>
          </w:tcPr>
          <w:p w:rsidR="00B83890" w:rsidRDefault="00B83890" w:rsidP="00751664">
            <w:pPr>
              <w:ind w:left="678"/>
            </w:pPr>
            <w:r w:rsidRPr="00714FFC">
              <w:rPr>
                <w:lang w:val="en-GB"/>
              </w:rPr>
              <w:t xml:space="preserve">Less </w:t>
            </w:r>
            <w:r>
              <w:rPr>
                <w:lang w:val="en-GB"/>
              </w:rPr>
              <w:t>A</w:t>
            </w:r>
            <w:r w:rsidRPr="00714FFC">
              <w:rPr>
                <w:lang w:val="en-GB"/>
              </w:rPr>
              <w:t xml:space="preserve">ccumulated </w:t>
            </w:r>
            <w:r>
              <w:rPr>
                <w:lang w:val="en-GB"/>
              </w:rPr>
              <w:t>D</w:t>
            </w:r>
            <w:r w:rsidRPr="00714FFC">
              <w:rPr>
                <w:lang w:val="en-GB"/>
              </w:rPr>
              <w:t>epreciation</w:t>
            </w:r>
          </w:p>
        </w:tc>
        <w:tc>
          <w:tcPr>
            <w:tcW w:w="1276" w:type="dxa"/>
            <w:tcBorders>
              <w:bottom w:val="single" w:sz="8" w:space="0" w:color="000000"/>
            </w:tcBorders>
            <w:vAlign w:val="center"/>
          </w:tcPr>
          <w:p w:rsidR="00B83890" w:rsidRPr="00714FFC" w:rsidRDefault="00B83890" w:rsidP="006E6DC8">
            <w:pPr>
              <w:jc w:val="right"/>
              <w:rPr>
                <w:b/>
                <w:lang w:val="en-GB"/>
              </w:rPr>
            </w:pPr>
            <w:r>
              <w:rPr>
                <w:lang w:val="en-GB"/>
              </w:rPr>
              <w:t>0</w:t>
            </w:r>
          </w:p>
        </w:tc>
        <w:tc>
          <w:tcPr>
            <w:tcW w:w="1417" w:type="dxa"/>
            <w:tcBorders>
              <w:bottom w:val="single" w:sz="8" w:space="0" w:color="000000"/>
            </w:tcBorders>
            <w:vAlign w:val="center"/>
          </w:tcPr>
          <w:p w:rsidR="00B83890" w:rsidRPr="00714FFC" w:rsidRDefault="00B83890" w:rsidP="006E6DC8">
            <w:pPr>
              <w:jc w:val="right"/>
              <w:rPr>
                <w:b/>
                <w:lang w:val="en-GB"/>
              </w:rPr>
            </w:pPr>
            <w:r>
              <w:rPr>
                <w:lang w:val="en-GB"/>
              </w:rPr>
              <w:t>0</w:t>
            </w:r>
          </w:p>
        </w:tc>
      </w:tr>
      <w:tr w:rsidR="00B83890" w:rsidTr="006E6DC8">
        <w:trPr>
          <w:cantSplit/>
          <w:trHeight w:val="255"/>
        </w:trPr>
        <w:tc>
          <w:tcPr>
            <w:tcW w:w="6521" w:type="dxa"/>
            <w:tcBorders>
              <w:top w:val="single" w:sz="8" w:space="0" w:color="000000"/>
              <w:bottom w:val="single" w:sz="4" w:space="0" w:color="auto"/>
            </w:tcBorders>
          </w:tcPr>
          <w:p w:rsidR="00B83890" w:rsidRPr="00714FFC" w:rsidRDefault="00B83890" w:rsidP="006E6DC8">
            <w:pPr>
              <w:rPr>
                <w:lang w:val="en-GB"/>
              </w:rPr>
            </w:pPr>
            <w:r w:rsidRPr="000F0614">
              <w:rPr>
                <w:b/>
                <w:lang w:val="en-GB"/>
              </w:rPr>
              <w:t xml:space="preserve">TOTAL </w:t>
            </w:r>
            <w:r>
              <w:rPr>
                <w:b/>
                <w:lang w:val="en-GB"/>
              </w:rPr>
              <w:t>W.I.P.</w:t>
            </w:r>
          </w:p>
        </w:tc>
        <w:tc>
          <w:tcPr>
            <w:tcW w:w="1276" w:type="dxa"/>
            <w:tcBorders>
              <w:top w:val="single" w:sz="8" w:space="0" w:color="000000"/>
              <w:bottom w:val="single" w:sz="4" w:space="0" w:color="auto"/>
            </w:tcBorders>
          </w:tcPr>
          <w:p w:rsidR="00B83890" w:rsidRDefault="00B83890" w:rsidP="006E6DC8">
            <w:pPr>
              <w:jc w:val="right"/>
              <w:rPr>
                <w:lang w:val="en-GB"/>
              </w:rPr>
            </w:pPr>
            <w:r>
              <w:rPr>
                <w:b/>
                <w:lang w:val="en-GB"/>
              </w:rPr>
              <w:t>340</w:t>
            </w:r>
          </w:p>
        </w:tc>
        <w:tc>
          <w:tcPr>
            <w:tcW w:w="1417" w:type="dxa"/>
            <w:tcBorders>
              <w:top w:val="single" w:sz="8" w:space="0" w:color="000000"/>
              <w:bottom w:val="single" w:sz="4" w:space="0" w:color="auto"/>
            </w:tcBorders>
          </w:tcPr>
          <w:p w:rsidR="00B83890" w:rsidRDefault="00B83890" w:rsidP="006E6DC8">
            <w:pPr>
              <w:jc w:val="right"/>
              <w:rPr>
                <w:lang w:val="en-GB"/>
              </w:rPr>
            </w:pPr>
            <w:r>
              <w:rPr>
                <w:b/>
                <w:lang w:val="en-GB"/>
              </w:rPr>
              <w:t>96</w:t>
            </w:r>
          </w:p>
        </w:tc>
      </w:tr>
      <w:tr w:rsidR="00B83890" w:rsidTr="006E6DC8">
        <w:trPr>
          <w:cantSplit/>
          <w:trHeight w:val="87"/>
        </w:trPr>
        <w:tc>
          <w:tcPr>
            <w:tcW w:w="6521" w:type="dxa"/>
            <w:tcBorders>
              <w:top w:val="single" w:sz="4" w:space="0" w:color="auto"/>
              <w:bottom w:val="double" w:sz="4" w:space="0" w:color="auto"/>
            </w:tcBorders>
          </w:tcPr>
          <w:p w:rsidR="00B83890" w:rsidRDefault="00B83890" w:rsidP="006E6DC8">
            <w:pPr>
              <w:pStyle w:val="total"/>
              <w:rPr>
                <w:color w:val="auto"/>
                <w:sz w:val="20"/>
              </w:rPr>
            </w:pPr>
          </w:p>
          <w:p w:rsidR="00B83890" w:rsidRDefault="00B83890" w:rsidP="006E6DC8">
            <w:pPr>
              <w:pStyle w:val="total"/>
              <w:rPr>
                <w:color w:val="auto"/>
                <w:sz w:val="20"/>
              </w:rPr>
            </w:pPr>
            <w:r w:rsidRPr="009341D1">
              <w:rPr>
                <w:color w:val="auto"/>
                <w:sz w:val="20"/>
              </w:rPr>
              <w:t xml:space="preserve">TOTAL PROPERTY, PLANT </w:t>
            </w:r>
            <w:r>
              <w:rPr>
                <w:color w:val="auto"/>
                <w:sz w:val="20"/>
              </w:rPr>
              <w:t>AND</w:t>
            </w:r>
            <w:r w:rsidRPr="009341D1">
              <w:rPr>
                <w:color w:val="auto"/>
                <w:sz w:val="20"/>
              </w:rPr>
              <w:t xml:space="preserve"> EQUIPMENT,  Exhibitions </w:t>
            </w:r>
            <w:r>
              <w:rPr>
                <w:color w:val="auto"/>
                <w:sz w:val="20"/>
              </w:rPr>
              <w:t>AND</w:t>
            </w:r>
            <w:r w:rsidRPr="009341D1">
              <w:rPr>
                <w:color w:val="auto"/>
                <w:sz w:val="20"/>
              </w:rPr>
              <w:t xml:space="preserve"> W.I.P.</w:t>
            </w:r>
          </w:p>
        </w:tc>
        <w:tc>
          <w:tcPr>
            <w:tcW w:w="1276" w:type="dxa"/>
            <w:tcBorders>
              <w:top w:val="single" w:sz="4" w:space="0" w:color="auto"/>
              <w:bottom w:val="double" w:sz="4" w:space="0" w:color="auto"/>
            </w:tcBorders>
          </w:tcPr>
          <w:p w:rsidR="00B83890" w:rsidRDefault="00B83890" w:rsidP="006E6DC8">
            <w:pPr>
              <w:jc w:val="right"/>
              <w:rPr>
                <w:b/>
                <w:caps/>
                <w:lang w:val="en-GB"/>
              </w:rPr>
            </w:pPr>
          </w:p>
          <w:p w:rsidR="00B83890" w:rsidRDefault="00B83890" w:rsidP="006E6DC8">
            <w:pPr>
              <w:jc w:val="right"/>
              <w:rPr>
                <w:b/>
                <w:lang w:val="en-GB"/>
              </w:rPr>
            </w:pPr>
            <w:r>
              <w:rPr>
                <w:b/>
                <w:lang w:val="en-GB"/>
              </w:rPr>
              <w:t>514,547</w:t>
            </w:r>
          </w:p>
        </w:tc>
        <w:tc>
          <w:tcPr>
            <w:tcW w:w="1417" w:type="dxa"/>
            <w:tcBorders>
              <w:top w:val="single" w:sz="4" w:space="0" w:color="auto"/>
              <w:bottom w:val="double" w:sz="4" w:space="0" w:color="auto"/>
            </w:tcBorders>
          </w:tcPr>
          <w:p w:rsidR="00B83890" w:rsidRPr="009341D1" w:rsidRDefault="00B83890" w:rsidP="006E6DC8">
            <w:pPr>
              <w:jc w:val="right"/>
              <w:rPr>
                <w:b/>
                <w:caps/>
                <w:lang w:val="en-GB"/>
              </w:rPr>
            </w:pPr>
          </w:p>
          <w:p w:rsidR="00B83890" w:rsidRDefault="00B83890" w:rsidP="006E6DC8">
            <w:pPr>
              <w:jc w:val="right"/>
              <w:rPr>
                <w:b/>
                <w:lang w:val="en-GB"/>
              </w:rPr>
            </w:pPr>
            <w:r>
              <w:rPr>
                <w:b/>
                <w:lang w:val="en-GB"/>
              </w:rPr>
              <w:t>531,554</w:t>
            </w:r>
          </w:p>
        </w:tc>
      </w:tr>
      <w:tr w:rsidR="00B83890" w:rsidTr="006E6DC8">
        <w:trPr>
          <w:cantSplit/>
          <w:trHeight w:val="206"/>
        </w:trPr>
        <w:tc>
          <w:tcPr>
            <w:tcW w:w="6521" w:type="dxa"/>
            <w:tcBorders>
              <w:top w:val="single" w:sz="8" w:space="0" w:color="000000"/>
            </w:tcBorders>
          </w:tcPr>
          <w:p w:rsidR="00B83890" w:rsidRDefault="00B83890" w:rsidP="006E6DC8"/>
        </w:tc>
        <w:tc>
          <w:tcPr>
            <w:tcW w:w="1276" w:type="dxa"/>
            <w:tcBorders>
              <w:top w:val="single" w:sz="8" w:space="0" w:color="000000"/>
            </w:tcBorders>
          </w:tcPr>
          <w:p w:rsidR="00B83890" w:rsidRDefault="00B83890" w:rsidP="006E6DC8">
            <w:pPr>
              <w:jc w:val="right"/>
              <w:rPr>
                <w:b/>
                <w:lang w:val="en-GB"/>
              </w:rPr>
            </w:pPr>
          </w:p>
        </w:tc>
        <w:tc>
          <w:tcPr>
            <w:tcW w:w="1417" w:type="dxa"/>
            <w:tcBorders>
              <w:top w:val="single" w:sz="8" w:space="0" w:color="000000"/>
            </w:tcBorders>
          </w:tcPr>
          <w:p w:rsidR="00B83890" w:rsidRDefault="00B83890" w:rsidP="006E6DC8">
            <w:pPr>
              <w:jc w:val="right"/>
              <w:rPr>
                <w:b/>
                <w:lang w:val="en-GB"/>
              </w:rPr>
            </w:pPr>
          </w:p>
        </w:tc>
      </w:tr>
      <w:tr w:rsidR="00B83890" w:rsidTr="006E6DC8">
        <w:trPr>
          <w:cantSplit/>
          <w:trHeight w:val="599"/>
        </w:trPr>
        <w:tc>
          <w:tcPr>
            <w:tcW w:w="9214" w:type="dxa"/>
            <w:gridSpan w:val="3"/>
          </w:tcPr>
          <w:p w:rsidR="00B83890" w:rsidRPr="000D6558" w:rsidRDefault="00B83890" w:rsidP="006E6DC8">
            <w:pPr>
              <w:rPr>
                <w:rFonts w:cs="Arial"/>
                <w:b/>
                <w:i/>
                <w:caps/>
                <w:sz w:val="20"/>
                <w:szCs w:val="20"/>
                <w:lang w:val="en-GB"/>
              </w:rPr>
            </w:pPr>
            <w:r w:rsidRPr="000D6558">
              <w:rPr>
                <w:rFonts w:cs="Arial"/>
                <w:i/>
                <w:sz w:val="20"/>
                <w:szCs w:val="20"/>
              </w:rPr>
              <w:t>Independent valuations at fair value for Property and Collections were carried out in 2010</w:t>
            </w:r>
            <w:r w:rsidRPr="000D6558">
              <w:rPr>
                <w:sz w:val="20"/>
                <w:szCs w:val="20"/>
              </w:rPr>
              <w:t>–</w:t>
            </w:r>
            <w:r w:rsidRPr="000D6558">
              <w:rPr>
                <w:rFonts w:cs="Arial"/>
                <w:i/>
                <w:sz w:val="20"/>
                <w:szCs w:val="20"/>
              </w:rPr>
              <w:t>11 in accordance with the FRD 103D Non-Current Physical Assets. A fair value assessment for Plant &amp; Equipment and Exhibitions was undertaken by management during the year ended 30 June 2011 in accordance with the FRD 103D Non- Current Physical Assets  in order to reconfirm the fair value of Plant &amp; Equipment and Exhibitions.</w:t>
            </w:r>
          </w:p>
        </w:tc>
      </w:tr>
    </w:tbl>
    <w:p w:rsidR="00B83890" w:rsidRDefault="00B83890" w:rsidP="00751664">
      <w:pPr>
        <w:pStyle w:val="Heading1"/>
        <w:pBdr>
          <w:top w:val="single" w:sz="12" w:space="10" w:color="auto"/>
          <w:bottom w:val="double" w:sz="12" w:space="10" w:color="auto"/>
        </w:pBdr>
        <w:spacing w:before="120" w:after="120"/>
        <w:rPr>
          <w:sz w:val="22"/>
        </w:rPr>
      </w:pPr>
      <w:r>
        <w:rPr>
          <w:i/>
        </w:rPr>
        <w:br w:type="page"/>
      </w:r>
    </w:p>
    <w:p w:rsidR="00B83890" w:rsidRDefault="00B83890" w:rsidP="00B83890">
      <w:pPr>
        <w:pStyle w:val="Heading2"/>
        <w:ind w:left="352" w:hanging="352"/>
        <w:rPr>
          <w:sz w:val="22"/>
          <w:szCs w:val="22"/>
        </w:rPr>
      </w:pPr>
      <w:r w:rsidRPr="000D6558">
        <w:rPr>
          <w:sz w:val="22"/>
          <w:szCs w:val="22"/>
        </w:rPr>
        <w:lastRenderedPageBreak/>
        <w:t>9.</w:t>
      </w:r>
      <w:r w:rsidRPr="000D6558">
        <w:rPr>
          <w:sz w:val="22"/>
          <w:szCs w:val="22"/>
        </w:rPr>
        <w:tab/>
        <w:t>NON-CURRENT PHYSICAL ASSETS (CONT’D)</w:t>
      </w:r>
    </w:p>
    <w:p w:rsidR="00B83890" w:rsidRPr="000D6558" w:rsidRDefault="00B83890" w:rsidP="00B83890"/>
    <w:p w:rsidR="00B83890" w:rsidRPr="00D605F7" w:rsidRDefault="00B83890" w:rsidP="004B1BAA">
      <w:pPr>
        <w:pStyle w:val="Heading4"/>
        <w:rPr>
          <w:i/>
        </w:rPr>
      </w:pPr>
      <w:r>
        <w:t>9</w:t>
      </w:r>
      <w:r w:rsidRPr="00D605F7">
        <w:t xml:space="preserve">(d) </w:t>
      </w:r>
      <w:r>
        <w:t>Movements in Carrying Amounts of Non-Current Physical Assets</w:t>
      </w:r>
      <w:r w:rsidRPr="00D605F7">
        <w:t xml:space="preserve"> </w:t>
      </w:r>
    </w:p>
    <w:p w:rsidR="00B83890" w:rsidRPr="008D6A9D" w:rsidRDefault="00B83890" w:rsidP="00B83890">
      <w:pPr>
        <w:rPr>
          <w:sz w:val="16"/>
          <w:szCs w:val="16"/>
        </w:rPr>
      </w:pPr>
    </w:p>
    <w:tbl>
      <w:tblPr>
        <w:tblW w:w="9357" w:type="dxa"/>
        <w:tblInd w:w="-396" w:type="dxa"/>
        <w:tblLayout w:type="fixed"/>
        <w:tblCellMar>
          <w:left w:w="30" w:type="dxa"/>
          <w:right w:w="30" w:type="dxa"/>
        </w:tblCellMar>
        <w:tblLook w:val="0000" w:firstRow="0" w:lastRow="0" w:firstColumn="0" w:lastColumn="0" w:noHBand="0" w:noVBand="0"/>
        <w:tblCaption w:val="Non-Current Physical Assets: Movements in Carrying Amounts"/>
        <w:tblDescription w:val="This table shows the Movements in Carrying Amounts of Non-Current Physical Assets for 2012–13 with comparison to 2011–12."/>
      </w:tblPr>
      <w:tblGrid>
        <w:gridCol w:w="1702"/>
        <w:gridCol w:w="1134"/>
        <w:gridCol w:w="1134"/>
        <w:gridCol w:w="1136"/>
        <w:gridCol w:w="1132"/>
        <w:gridCol w:w="992"/>
        <w:gridCol w:w="1134"/>
        <w:gridCol w:w="993"/>
      </w:tblGrid>
      <w:tr w:rsidR="00B83890" w:rsidRPr="000D6558" w:rsidTr="00C427A6">
        <w:trPr>
          <w:trHeight w:val="373"/>
        </w:trPr>
        <w:tc>
          <w:tcPr>
            <w:tcW w:w="1702" w:type="dxa"/>
            <w:tcBorders>
              <w:bottom w:val="nil"/>
            </w:tcBorders>
          </w:tcPr>
          <w:p w:rsidR="00B83890" w:rsidRPr="000D6558" w:rsidRDefault="00B83890" w:rsidP="006E6DC8">
            <w:pPr>
              <w:rPr>
                <w:b/>
                <w:snapToGrid w:val="0"/>
                <w:sz w:val="20"/>
                <w:szCs w:val="20"/>
                <w:lang w:eastAsia="en-US"/>
              </w:rPr>
            </w:pPr>
            <w:r w:rsidRPr="000D6558">
              <w:rPr>
                <w:b/>
                <w:snapToGrid w:val="0"/>
                <w:sz w:val="20"/>
                <w:szCs w:val="20"/>
                <w:lang w:eastAsia="en-US"/>
              </w:rPr>
              <w:t>Carrying amount</w:t>
            </w:r>
          </w:p>
          <w:p w:rsidR="00B83890" w:rsidRPr="000D6558" w:rsidRDefault="00B83890" w:rsidP="006E6DC8">
            <w:pPr>
              <w:jc w:val="right"/>
              <w:rPr>
                <w:b/>
                <w:snapToGrid w:val="0"/>
                <w:sz w:val="20"/>
                <w:szCs w:val="20"/>
                <w:lang w:eastAsia="en-US"/>
              </w:rPr>
            </w:pPr>
          </w:p>
        </w:tc>
        <w:tc>
          <w:tcPr>
            <w:tcW w:w="1134" w:type="dxa"/>
          </w:tcPr>
          <w:p w:rsidR="00B83890" w:rsidRPr="000D6558" w:rsidRDefault="00B83890" w:rsidP="006E6DC8">
            <w:pPr>
              <w:jc w:val="right"/>
              <w:rPr>
                <w:b/>
                <w:sz w:val="20"/>
                <w:szCs w:val="20"/>
              </w:rPr>
            </w:pPr>
            <w:r w:rsidRPr="000D6558">
              <w:rPr>
                <w:b/>
                <w:sz w:val="20"/>
                <w:szCs w:val="20"/>
              </w:rPr>
              <w:t xml:space="preserve">Land </w:t>
            </w:r>
          </w:p>
        </w:tc>
        <w:tc>
          <w:tcPr>
            <w:tcW w:w="1134" w:type="dxa"/>
          </w:tcPr>
          <w:p w:rsidR="00B83890" w:rsidRPr="000D6558" w:rsidRDefault="00B83890" w:rsidP="006E6DC8">
            <w:pPr>
              <w:jc w:val="right"/>
              <w:rPr>
                <w:b/>
                <w:snapToGrid w:val="0"/>
                <w:sz w:val="20"/>
                <w:szCs w:val="20"/>
                <w:lang w:eastAsia="en-US"/>
              </w:rPr>
            </w:pPr>
            <w:r w:rsidRPr="000D6558">
              <w:rPr>
                <w:b/>
                <w:snapToGrid w:val="0"/>
                <w:sz w:val="20"/>
                <w:szCs w:val="20"/>
                <w:lang w:eastAsia="en-US"/>
              </w:rPr>
              <w:t>Buildings</w:t>
            </w:r>
          </w:p>
        </w:tc>
        <w:tc>
          <w:tcPr>
            <w:tcW w:w="1136" w:type="dxa"/>
          </w:tcPr>
          <w:p w:rsidR="00B83890" w:rsidRPr="000D6558" w:rsidRDefault="00B83890" w:rsidP="006E6DC8">
            <w:pPr>
              <w:jc w:val="right"/>
              <w:rPr>
                <w:b/>
                <w:snapToGrid w:val="0"/>
                <w:sz w:val="20"/>
                <w:szCs w:val="20"/>
                <w:lang w:eastAsia="en-US"/>
              </w:rPr>
            </w:pPr>
            <w:r w:rsidRPr="000D6558">
              <w:rPr>
                <w:b/>
                <w:snapToGrid w:val="0"/>
                <w:sz w:val="20"/>
                <w:szCs w:val="20"/>
                <w:lang w:eastAsia="en-US"/>
              </w:rPr>
              <w:t>Plant and Equipment</w:t>
            </w:r>
          </w:p>
        </w:tc>
        <w:tc>
          <w:tcPr>
            <w:tcW w:w="1132" w:type="dxa"/>
          </w:tcPr>
          <w:p w:rsidR="00B83890" w:rsidRPr="000D6558" w:rsidRDefault="00B83890" w:rsidP="006E6DC8">
            <w:pPr>
              <w:jc w:val="right"/>
              <w:rPr>
                <w:b/>
                <w:snapToGrid w:val="0"/>
                <w:sz w:val="20"/>
                <w:szCs w:val="20"/>
                <w:lang w:eastAsia="en-US"/>
              </w:rPr>
            </w:pPr>
            <w:r w:rsidRPr="000D6558">
              <w:rPr>
                <w:b/>
                <w:snapToGrid w:val="0"/>
                <w:sz w:val="20"/>
                <w:szCs w:val="20"/>
                <w:lang w:eastAsia="en-US"/>
              </w:rPr>
              <w:t>Exhibitions</w:t>
            </w:r>
          </w:p>
        </w:tc>
        <w:tc>
          <w:tcPr>
            <w:tcW w:w="992" w:type="dxa"/>
          </w:tcPr>
          <w:p w:rsidR="00B83890" w:rsidRPr="000D6558" w:rsidRDefault="00B83890" w:rsidP="006E6DC8">
            <w:pPr>
              <w:jc w:val="right"/>
              <w:rPr>
                <w:b/>
                <w:snapToGrid w:val="0"/>
                <w:sz w:val="20"/>
                <w:szCs w:val="20"/>
                <w:lang w:eastAsia="en-US"/>
              </w:rPr>
            </w:pPr>
            <w:r w:rsidRPr="000D6558">
              <w:rPr>
                <w:b/>
                <w:snapToGrid w:val="0"/>
                <w:sz w:val="20"/>
                <w:szCs w:val="20"/>
                <w:lang w:eastAsia="en-US"/>
              </w:rPr>
              <w:t>W.I.P.</w:t>
            </w:r>
          </w:p>
        </w:tc>
        <w:tc>
          <w:tcPr>
            <w:tcW w:w="1134" w:type="dxa"/>
          </w:tcPr>
          <w:p w:rsidR="00B83890" w:rsidRPr="000D6558" w:rsidRDefault="00B83890" w:rsidP="006E6DC8">
            <w:pPr>
              <w:jc w:val="right"/>
              <w:rPr>
                <w:b/>
                <w:snapToGrid w:val="0"/>
                <w:sz w:val="20"/>
                <w:szCs w:val="20"/>
                <w:lang w:eastAsia="en-US"/>
              </w:rPr>
            </w:pPr>
            <w:r w:rsidRPr="000D6558">
              <w:rPr>
                <w:b/>
                <w:snapToGrid w:val="0"/>
                <w:sz w:val="20"/>
                <w:szCs w:val="20"/>
                <w:lang w:eastAsia="en-US"/>
              </w:rPr>
              <w:t>Collections</w:t>
            </w:r>
          </w:p>
        </w:tc>
        <w:tc>
          <w:tcPr>
            <w:tcW w:w="993" w:type="dxa"/>
          </w:tcPr>
          <w:p w:rsidR="00B83890" w:rsidRPr="000D6558" w:rsidRDefault="00B83890" w:rsidP="006E6DC8">
            <w:pPr>
              <w:jc w:val="right"/>
              <w:rPr>
                <w:b/>
                <w:snapToGrid w:val="0"/>
                <w:sz w:val="20"/>
                <w:szCs w:val="20"/>
                <w:lang w:eastAsia="en-US"/>
              </w:rPr>
            </w:pPr>
            <w:r w:rsidRPr="000D6558">
              <w:rPr>
                <w:b/>
                <w:snapToGrid w:val="0"/>
                <w:sz w:val="20"/>
                <w:szCs w:val="20"/>
                <w:lang w:eastAsia="en-US"/>
              </w:rPr>
              <w:t>Total</w:t>
            </w:r>
          </w:p>
        </w:tc>
      </w:tr>
      <w:tr w:rsidR="00B83890" w:rsidRPr="000D6558" w:rsidTr="00C427A6">
        <w:trPr>
          <w:trHeight w:val="173"/>
        </w:trPr>
        <w:tc>
          <w:tcPr>
            <w:tcW w:w="1702" w:type="dxa"/>
          </w:tcPr>
          <w:p w:rsidR="00B83890" w:rsidRPr="000D6558" w:rsidRDefault="00B83890" w:rsidP="006E6DC8">
            <w:pPr>
              <w:spacing w:before="60" w:after="60"/>
              <w:jc w:val="right"/>
              <w:rPr>
                <w:b/>
                <w:snapToGrid w:val="0"/>
                <w:sz w:val="20"/>
                <w:szCs w:val="20"/>
                <w:lang w:eastAsia="en-US"/>
              </w:rPr>
            </w:pPr>
          </w:p>
        </w:tc>
        <w:tc>
          <w:tcPr>
            <w:tcW w:w="1134" w:type="dxa"/>
          </w:tcPr>
          <w:p w:rsidR="00B83890" w:rsidRPr="000D6558" w:rsidRDefault="00B83890" w:rsidP="006E6DC8">
            <w:pPr>
              <w:spacing w:before="60" w:after="60"/>
              <w:jc w:val="right"/>
              <w:rPr>
                <w:b/>
                <w:snapToGrid w:val="0"/>
                <w:sz w:val="20"/>
                <w:szCs w:val="20"/>
                <w:lang w:eastAsia="en-US"/>
              </w:rPr>
            </w:pPr>
            <w:r w:rsidRPr="000D6558">
              <w:rPr>
                <w:b/>
                <w:snapToGrid w:val="0"/>
                <w:sz w:val="20"/>
                <w:szCs w:val="20"/>
                <w:lang w:eastAsia="en-US"/>
              </w:rPr>
              <w:t>$'000</w:t>
            </w:r>
          </w:p>
        </w:tc>
        <w:tc>
          <w:tcPr>
            <w:tcW w:w="1134" w:type="dxa"/>
          </w:tcPr>
          <w:p w:rsidR="00B83890" w:rsidRPr="000D6558" w:rsidRDefault="00B83890" w:rsidP="006E6DC8">
            <w:pPr>
              <w:spacing w:before="60" w:after="60"/>
              <w:jc w:val="right"/>
              <w:rPr>
                <w:b/>
                <w:snapToGrid w:val="0"/>
                <w:sz w:val="20"/>
                <w:szCs w:val="20"/>
                <w:lang w:eastAsia="en-US"/>
              </w:rPr>
            </w:pPr>
            <w:r w:rsidRPr="000D6558">
              <w:rPr>
                <w:b/>
                <w:snapToGrid w:val="0"/>
                <w:sz w:val="20"/>
                <w:szCs w:val="20"/>
                <w:lang w:eastAsia="en-US"/>
              </w:rPr>
              <w:t>$'000</w:t>
            </w:r>
          </w:p>
        </w:tc>
        <w:tc>
          <w:tcPr>
            <w:tcW w:w="1136" w:type="dxa"/>
          </w:tcPr>
          <w:p w:rsidR="00B83890" w:rsidRPr="000D6558" w:rsidRDefault="00B83890" w:rsidP="006E6DC8">
            <w:pPr>
              <w:spacing w:before="60" w:after="60"/>
              <w:jc w:val="right"/>
              <w:rPr>
                <w:b/>
                <w:snapToGrid w:val="0"/>
                <w:sz w:val="20"/>
                <w:szCs w:val="20"/>
                <w:lang w:eastAsia="en-US"/>
              </w:rPr>
            </w:pPr>
            <w:r w:rsidRPr="000D6558">
              <w:rPr>
                <w:b/>
                <w:snapToGrid w:val="0"/>
                <w:sz w:val="20"/>
                <w:szCs w:val="20"/>
                <w:lang w:eastAsia="en-US"/>
              </w:rPr>
              <w:t>$'000</w:t>
            </w:r>
          </w:p>
        </w:tc>
        <w:tc>
          <w:tcPr>
            <w:tcW w:w="1132" w:type="dxa"/>
          </w:tcPr>
          <w:p w:rsidR="00B83890" w:rsidRPr="000D6558" w:rsidRDefault="00B83890" w:rsidP="006E6DC8">
            <w:pPr>
              <w:spacing w:before="60" w:after="60"/>
              <w:jc w:val="right"/>
              <w:rPr>
                <w:b/>
                <w:snapToGrid w:val="0"/>
                <w:sz w:val="20"/>
                <w:szCs w:val="20"/>
                <w:lang w:eastAsia="en-US"/>
              </w:rPr>
            </w:pPr>
            <w:r w:rsidRPr="000D6558">
              <w:rPr>
                <w:b/>
                <w:snapToGrid w:val="0"/>
                <w:sz w:val="20"/>
                <w:szCs w:val="20"/>
                <w:lang w:eastAsia="en-US"/>
              </w:rPr>
              <w:t>$'000</w:t>
            </w:r>
          </w:p>
        </w:tc>
        <w:tc>
          <w:tcPr>
            <w:tcW w:w="992" w:type="dxa"/>
          </w:tcPr>
          <w:p w:rsidR="00B83890" w:rsidRPr="000D6558" w:rsidRDefault="00B83890" w:rsidP="006E6DC8">
            <w:pPr>
              <w:spacing w:before="60" w:after="60"/>
              <w:jc w:val="right"/>
              <w:rPr>
                <w:b/>
                <w:snapToGrid w:val="0"/>
                <w:sz w:val="20"/>
                <w:szCs w:val="20"/>
                <w:lang w:eastAsia="en-US"/>
              </w:rPr>
            </w:pPr>
            <w:r w:rsidRPr="000D6558">
              <w:rPr>
                <w:b/>
                <w:snapToGrid w:val="0"/>
                <w:sz w:val="20"/>
                <w:szCs w:val="20"/>
                <w:lang w:eastAsia="en-US"/>
              </w:rPr>
              <w:t>$'000</w:t>
            </w:r>
          </w:p>
        </w:tc>
        <w:tc>
          <w:tcPr>
            <w:tcW w:w="1134" w:type="dxa"/>
          </w:tcPr>
          <w:p w:rsidR="00B83890" w:rsidRPr="000D6558" w:rsidRDefault="00B83890" w:rsidP="006E6DC8">
            <w:pPr>
              <w:spacing w:before="60" w:after="60"/>
              <w:jc w:val="right"/>
              <w:rPr>
                <w:b/>
                <w:snapToGrid w:val="0"/>
                <w:sz w:val="20"/>
                <w:szCs w:val="20"/>
                <w:lang w:eastAsia="en-US"/>
              </w:rPr>
            </w:pPr>
            <w:r w:rsidRPr="000D6558">
              <w:rPr>
                <w:b/>
                <w:snapToGrid w:val="0"/>
                <w:sz w:val="20"/>
                <w:szCs w:val="20"/>
                <w:lang w:eastAsia="en-US"/>
              </w:rPr>
              <w:t>$’000</w:t>
            </w:r>
          </w:p>
        </w:tc>
        <w:tc>
          <w:tcPr>
            <w:tcW w:w="993" w:type="dxa"/>
          </w:tcPr>
          <w:p w:rsidR="00B83890" w:rsidRPr="000D6558" w:rsidRDefault="00B83890" w:rsidP="006E6DC8">
            <w:pPr>
              <w:spacing w:before="60" w:after="60"/>
              <w:jc w:val="right"/>
              <w:rPr>
                <w:b/>
                <w:snapToGrid w:val="0"/>
                <w:sz w:val="20"/>
                <w:szCs w:val="20"/>
                <w:lang w:eastAsia="en-US"/>
              </w:rPr>
            </w:pPr>
            <w:r w:rsidRPr="000D6558">
              <w:rPr>
                <w:b/>
                <w:snapToGrid w:val="0"/>
                <w:sz w:val="20"/>
                <w:szCs w:val="20"/>
                <w:lang w:eastAsia="en-US"/>
              </w:rPr>
              <w:t>$’000</w:t>
            </w:r>
          </w:p>
        </w:tc>
      </w:tr>
      <w:tr w:rsidR="00B83890" w:rsidRPr="000D6558" w:rsidTr="00C427A6">
        <w:trPr>
          <w:trHeight w:val="173"/>
        </w:trPr>
        <w:tc>
          <w:tcPr>
            <w:tcW w:w="1702" w:type="dxa"/>
          </w:tcPr>
          <w:p w:rsidR="00B83890" w:rsidRPr="000D6558" w:rsidRDefault="00B83890" w:rsidP="006E6DC8">
            <w:pPr>
              <w:spacing w:before="60" w:after="60"/>
              <w:rPr>
                <w:b/>
                <w:snapToGrid w:val="0"/>
                <w:sz w:val="20"/>
                <w:szCs w:val="20"/>
                <w:lang w:eastAsia="en-US"/>
              </w:rPr>
            </w:pPr>
            <w:r w:rsidRPr="000D6558">
              <w:rPr>
                <w:b/>
                <w:snapToGrid w:val="0"/>
                <w:sz w:val="20"/>
                <w:szCs w:val="20"/>
                <w:lang w:eastAsia="en-US"/>
              </w:rPr>
              <w:t>Balance at 1 July 2011</w:t>
            </w:r>
          </w:p>
        </w:tc>
        <w:tc>
          <w:tcPr>
            <w:tcW w:w="1134" w:type="dxa"/>
            <w:tcBorders>
              <w:top w:val="single" w:sz="4" w:space="0" w:color="auto"/>
            </w:tcBorders>
          </w:tcPr>
          <w:p w:rsidR="00B83890" w:rsidRPr="000D6558" w:rsidRDefault="00B83890" w:rsidP="006E6DC8">
            <w:pPr>
              <w:spacing w:before="60" w:after="60"/>
              <w:jc w:val="right"/>
              <w:rPr>
                <w:snapToGrid w:val="0"/>
                <w:sz w:val="20"/>
                <w:szCs w:val="20"/>
                <w:lang w:eastAsia="en-US"/>
              </w:rPr>
            </w:pPr>
            <w:r w:rsidRPr="000D6558">
              <w:rPr>
                <w:b/>
                <w:snapToGrid w:val="0"/>
                <w:sz w:val="20"/>
                <w:szCs w:val="20"/>
                <w:lang w:eastAsia="en-US"/>
              </w:rPr>
              <w:t>153,982</w:t>
            </w:r>
          </w:p>
        </w:tc>
        <w:tc>
          <w:tcPr>
            <w:tcW w:w="1134" w:type="dxa"/>
            <w:tcBorders>
              <w:top w:val="single" w:sz="4" w:space="0" w:color="auto"/>
            </w:tcBorders>
          </w:tcPr>
          <w:p w:rsidR="00B83890" w:rsidRPr="000D6558" w:rsidRDefault="00B83890" w:rsidP="006E6DC8">
            <w:pPr>
              <w:spacing w:before="60" w:after="60"/>
              <w:jc w:val="right"/>
              <w:rPr>
                <w:snapToGrid w:val="0"/>
                <w:sz w:val="20"/>
                <w:szCs w:val="20"/>
                <w:lang w:eastAsia="en-US"/>
              </w:rPr>
            </w:pPr>
            <w:r w:rsidRPr="000D6558">
              <w:rPr>
                <w:b/>
                <w:snapToGrid w:val="0"/>
                <w:sz w:val="20"/>
                <w:szCs w:val="20"/>
                <w:lang w:eastAsia="en-US"/>
              </w:rPr>
              <w:t>382,131</w:t>
            </w:r>
          </w:p>
        </w:tc>
        <w:tc>
          <w:tcPr>
            <w:tcW w:w="1136" w:type="dxa"/>
            <w:tcBorders>
              <w:top w:val="single" w:sz="4" w:space="0" w:color="auto"/>
            </w:tcBorders>
          </w:tcPr>
          <w:p w:rsidR="00B83890" w:rsidRPr="000D6558" w:rsidRDefault="00B83890" w:rsidP="006E6DC8">
            <w:pPr>
              <w:spacing w:before="60" w:after="60"/>
              <w:jc w:val="right"/>
              <w:rPr>
                <w:snapToGrid w:val="0"/>
                <w:sz w:val="20"/>
                <w:szCs w:val="20"/>
                <w:lang w:eastAsia="en-US"/>
              </w:rPr>
            </w:pPr>
            <w:r w:rsidRPr="000D6558">
              <w:rPr>
                <w:b/>
                <w:snapToGrid w:val="0"/>
                <w:sz w:val="20"/>
                <w:szCs w:val="20"/>
                <w:lang w:eastAsia="en-US"/>
              </w:rPr>
              <w:t>5,690</w:t>
            </w:r>
          </w:p>
        </w:tc>
        <w:tc>
          <w:tcPr>
            <w:tcW w:w="1132" w:type="dxa"/>
            <w:tcBorders>
              <w:top w:val="single" w:sz="4" w:space="0" w:color="auto"/>
            </w:tcBorders>
          </w:tcPr>
          <w:p w:rsidR="00B83890" w:rsidRPr="000D6558" w:rsidRDefault="00B83890" w:rsidP="006E6DC8">
            <w:pPr>
              <w:spacing w:before="60" w:after="60"/>
              <w:jc w:val="right"/>
              <w:rPr>
                <w:snapToGrid w:val="0"/>
                <w:sz w:val="20"/>
                <w:szCs w:val="20"/>
                <w:lang w:eastAsia="en-US"/>
              </w:rPr>
            </w:pPr>
            <w:r w:rsidRPr="000D6558">
              <w:rPr>
                <w:b/>
                <w:snapToGrid w:val="0"/>
                <w:sz w:val="20"/>
                <w:szCs w:val="20"/>
                <w:lang w:eastAsia="en-US"/>
              </w:rPr>
              <w:t>6,565</w:t>
            </w:r>
          </w:p>
        </w:tc>
        <w:tc>
          <w:tcPr>
            <w:tcW w:w="992" w:type="dxa"/>
            <w:tcBorders>
              <w:top w:val="single" w:sz="4" w:space="0" w:color="auto"/>
            </w:tcBorders>
          </w:tcPr>
          <w:p w:rsidR="00B83890" w:rsidRPr="000D6558" w:rsidRDefault="00B83890" w:rsidP="006E6DC8">
            <w:pPr>
              <w:spacing w:before="60" w:after="60"/>
              <w:jc w:val="right"/>
              <w:rPr>
                <w:snapToGrid w:val="0"/>
                <w:sz w:val="20"/>
                <w:szCs w:val="20"/>
                <w:lang w:eastAsia="en-US"/>
              </w:rPr>
            </w:pPr>
            <w:r w:rsidRPr="000D6558">
              <w:rPr>
                <w:b/>
                <w:snapToGrid w:val="0"/>
                <w:sz w:val="20"/>
                <w:szCs w:val="20"/>
                <w:lang w:eastAsia="en-US"/>
              </w:rPr>
              <w:t>0</w:t>
            </w:r>
          </w:p>
        </w:tc>
        <w:tc>
          <w:tcPr>
            <w:tcW w:w="1134" w:type="dxa"/>
            <w:tcBorders>
              <w:top w:val="single" w:sz="4" w:space="0" w:color="auto"/>
            </w:tcBorders>
          </w:tcPr>
          <w:p w:rsidR="00B83890" w:rsidRPr="000D6558" w:rsidRDefault="00B83890" w:rsidP="006E6DC8">
            <w:pPr>
              <w:spacing w:before="60" w:after="60"/>
              <w:jc w:val="right"/>
              <w:rPr>
                <w:snapToGrid w:val="0"/>
                <w:sz w:val="20"/>
                <w:szCs w:val="20"/>
                <w:lang w:eastAsia="en-US"/>
              </w:rPr>
            </w:pPr>
            <w:r w:rsidRPr="000D6558">
              <w:rPr>
                <w:b/>
                <w:snapToGrid w:val="0"/>
                <w:sz w:val="20"/>
                <w:szCs w:val="20"/>
                <w:lang w:eastAsia="en-US"/>
              </w:rPr>
              <w:t>498,166</w:t>
            </w:r>
          </w:p>
        </w:tc>
        <w:tc>
          <w:tcPr>
            <w:tcW w:w="993" w:type="dxa"/>
            <w:tcBorders>
              <w:top w:val="single" w:sz="4" w:space="0" w:color="auto"/>
            </w:tcBorders>
          </w:tcPr>
          <w:p w:rsidR="00B83890" w:rsidRPr="000D6558" w:rsidRDefault="00B83890" w:rsidP="006E6DC8">
            <w:pPr>
              <w:spacing w:before="60" w:after="60"/>
              <w:jc w:val="right"/>
              <w:rPr>
                <w:snapToGrid w:val="0"/>
                <w:sz w:val="20"/>
                <w:szCs w:val="20"/>
                <w:lang w:eastAsia="en-US"/>
              </w:rPr>
            </w:pPr>
            <w:r w:rsidRPr="000D6558">
              <w:rPr>
                <w:b/>
                <w:snapToGrid w:val="0"/>
                <w:sz w:val="20"/>
                <w:szCs w:val="20"/>
                <w:lang w:eastAsia="en-US"/>
              </w:rPr>
              <w:t>1,046,534</w:t>
            </w:r>
          </w:p>
        </w:tc>
      </w:tr>
      <w:tr w:rsidR="00B83890" w:rsidRPr="000D6558" w:rsidTr="00C427A6">
        <w:trPr>
          <w:trHeight w:val="173"/>
        </w:trPr>
        <w:tc>
          <w:tcPr>
            <w:tcW w:w="1702" w:type="dxa"/>
          </w:tcPr>
          <w:p w:rsidR="00B83890" w:rsidRPr="000D6558" w:rsidRDefault="00B83890" w:rsidP="006E6DC8">
            <w:pPr>
              <w:spacing w:before="60" w:after="60"/>
              <w:rPr>
                <w:b/>
                <w:snapToGrid w:val="0"/>
                <w:sz w:val="20"/>
                <w:szCs w:val="20"/>
                <w:lang w:eastAsia="en-US"/>
              </w:rPr>
            </w:pPr>
            <w:r w:rsidRPr="000D6558">
              <w:rPr>
                <w:snapToGrid w:val="0"/>
                <w:sz w:val="20"/>
                <w:szCs w:val="20"/>
                <w:lang w:eastAsia="en-US"/>
              </w:rPr>
              <w:t>Additions</w:t>
            </w:r>
          </w:p>
        </w:tc>
        <w:tc>
          <w:tcPr>
            <w:tcW w:w="1134"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4"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2,184</w:t>
            </w:r>
          </w:p>
        </w:tc>
        <w:tc>
          <w:tcPr>
            <w:tcW w:w="1136"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1,568</w:t>
            </w:r>
          </w:p>
        </w:tc>
        <w:tc>
          <w:tcPr>
            <w:tcW w:w="1132"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24</w:t>
            </w:r>
          </w:p>
        </w:tc>
        <w:tc>
          <w:tcPr>
            <w:tcW w:w="992"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134</w:t>
            </w:r>
          </w:p>
        </w:tc>
        <w:tc>
          <w:tcPr>
            <w:tcW w:w="1134"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2,659</w:t>
            </w:r>
          </w:p>
        </w:tc>
        <w:tc>
          <w:tcPr>
            <w:tcW w:w="993"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6,569</w:t>
            </w:r>
          </w:p>
        </w:tc>
      </w:tr>
      <w:tr w:rsidR="00B83890" w:rsidRPr="000D6558" w:rsidTr="00C427A6">
        <w:trPr>
          <w:trHeight w:val="173"/>
        </w:trPr>
        <w:tc>
          <w:tcPr>
            <w:tcW w:w="1702" w:type="dxa"/>
          </w:tcPr>
          <w:p w:rsidR="00B83890" w:rsidRPr="000D6558" w:rsidRDefault="00B83890" w:rsidP="006E6DC8">
            <w:pPr>
              <w:spacing w:before="60" w:after="60"/>
              <w:rPr>
                <w:b/>
                <w:snapToGrid w:val="0"/>
                <w:sz w:val="20"/>
                <w:szCs w:val="20"/>
                <w:lang w:eastAsia="en-US"/>
              </w:rPr>
            </w:pPr>
            <w:r w:rsidRPr="000D6558">
              <w:rPr>
                <w:snapToGrid w:val="0"/>
                <w:sz w:val="20"/>
                <w:szCs w:val="20"/>
                <w:lang w:eastAsia="en-US"/>
              </w:rPr>
              <w:t>Disposals</w:t>
            </w:r>
          </w:p>
        </w:tc>
        <w:tc>
          <w:tcPr>
            <w:tcW w:w="1134"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4"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6"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(33)</w:t>
            </w:r>
          </w:p>
        </w:tc>
        <w:tc>
          <w:tcPr>
            <w:tcW w:w="1132"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(1)</w:t>
            </w:r>
          </w:p>
        </w:tc>
        <w:tc>
          <w:tcPr>
            <w:tcW w:w="992"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4"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(2)</w:t>
            </w:r>
          </w:p>
        </w:tc>
        <w:tc>
          <w:tcPr>
            <w:tcW w:w="993"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(36)</w:t>
            </w:r>
          </w:p>
        </w:tc>
      </w:tr>
      <w:tr w:rsidR="00B83890" w:rsidRPr="000D6558" w:rsidTr="00C427A6">
        <w:trPr>
          <w:trHeight w:val="173"/>
        </w:trPr>
        <w:tc>
          <w:tcPr>
            <w:tcW w:w="1702" w:type="dxa"/>
          </w:tcPr>
          <w:p w:rsidR="00B83890" w:rsidRPr="000D6558" w:rsidRDefault="00B83890" w:rsidP="006E6DC8">
            <w:pPr>
              <w:spacing w:before="60" w:after="60"/>
              <w:rPr>
                <w:snapToGrid w:val="0"/>
                <w:sz w:val="20"/>
                <w:szCs w:val="20"/>
                <w:lang w:eastAsia="en-US"/>
              </w:rPr>
            </w:pPr>
            <w:r w:rsidRPr="000D6558">
              <w:rPr>
                <w:snapToGrid w:val="0"/>
                <w:sz w:val="20"/>
                <w:szCs w:val="20"/>
                <w:lang w:eastAsia="en-US"/>
              </w:rPr>
              <w:t>Asset revaluation</w:t>
            </w:r>
          </w:p>
        </w:tc>
        <w:tc>
          <w:tcPr>
            <w:tcW w:w="1134"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4"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6"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2"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992"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4"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993"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r>
      <w:tr w:rsidR="00B83890" w:rsidRPr="000D6558" w:rsidTr="00C427A6">
        <w:trPr>
          <w:trHeight w:val="173"/>
        </w:trPr>
        <w:tc>
          <w:tcPr>
            <w:tcW w:w="1702" w:type="dxa"/>
          </w:tcPr>
          <w:p w:rsidR="00B83890" w:rsidRPr="000D6558" w:rsidRDefault="00B83890" w:rsidP="006E6DC8">
            <w:pPr>
              <w:spacing w:before="60" w:after="60"/>
              <w:rPr>
                <w:snapToGrid w:val="0"/>
                <w:sz w:val="20"/>
                <w:szCs w:val="20"/>
                <w:lang w:eastAsia="en-US"/>
              </w:rPr>
            </w:pPr>
            <w:r w:rsidRPr="000D6558">
              <w:rPr>
                <w:snapToGrid w:val="0"/>
                <w:sz w:val="20"/>
                <w:szCs w:val="20"/>
                <w:lang w:eastAsia="en-US"/>
              </w:rPr>
              <w:t>Transfers</w:t>
            </w:r>
          </w:p>
        </w:tc>
        <w:tc>
          <w:tcPr>
            <w:tcW w:w="1134"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4"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491</w:t>
            </w:r>
          </w:p>
        </w:tc>
        <w:tc>
          <w:tcPr>
            <w:tcW w:w="1136"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(491)</w:t>
            </w:r>
          </w:p>
        </w:tc>
        <w:tc>
          <w:tcPr>
            <w:tcW w:w="1132"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38</w:t>
            </w:r>
          </w:p>
        </w:tc>
        <w:tc>
          <w:tcPr>
            <w:tcW w:w="992"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(38)</w:t>
            </w:r>
          </w:p>
        </w:tc>
        <w:tc>
          <w:tcPr>
            <w:tcW w:w="1134"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993"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r>
      <w:tr w:rsidR="00B83890" w:rsidRPr="000D6558" w:rsidTr="00C427A6">
        <w:trPr>
          <w:trHeight w:val="173"/>
        </w:trPr>
        <w:tc>
          <w:tcPr>
            <w:tcW w:w="1702" w:type="dxa"/>
          </w:tcPr>
          <w:p w:rsidR="00B83890" w:rsidRPr="000D6558" w:rsidRDefault="00B83890" w:rsidP="006E6DC8">
            <w:pPr>
              <w:spacing w:before="60" w:after="60"/>
              <w:rPr>
                <w:snapToGrid w:val="0"/>
                <w:sz w:val="20"/>
                <w:szCs w:val="20"/>
                <w:lang w:eastAsia="en-US"/>
              </w:rPr>
            </w:pPr>
            <w:r w:rsidRPr="000D6558">
              <w:rPr>
                <w:snapToGrid w:val="0"/>
                <w:sz w:val="20"/>
                <w:szCs w:val="20"/>
                <w:lang w:eastAsia="en-US"/>
              </w:rPr>
              <w:t>Depreciation</w:t>
            </w:r>
          </w:p>
        </w:tc>
        <w:tc>
          <w:tcPr>
            <w:tcW w:w="1134" w:type="dxa"/>
            <w:tcBorders>
              <w:bottom w:val="single" w:sz="4" w:space="0" w:color="auto"/>
            </w:tcBorders>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4" w:type="dxa"/>
            <w:tcBorders>
              <w:bottom w:val="single" w:sz="4" w:space="0" w:color="auto"/>
            </w:tcBorders>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(15,594)</w:t>
            </w:r>
          </w:p>
        </w:tc>
        <w:tc>
          <w:tcPr>
            <w:tcW w:w="1136" w:type="dxa"/>
            <w:tcBorders>
              <w:bottom w:val="single" w:sz="4" w:space="0" w:color="auto"/>
            </w:tcBorders>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(1,980)</w:t>
            </w:r>
          </w:p>
        </w:tc>
        <w:tc>
          <w:tcPr>
            <w:tcW w:w="1132" w:type="dxa"/>
            <w:tcBorders>
              <w:bottom w:val="single" w:sz="4" w:space="0" w:color="auto"/>
            </w:tcBorders>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(3,116)</w:t>
            </w:r>
          </w:p>
        </w:tc>
        <w:tc>
          <w:tcPr>
            <w:tcW w:w="992" w:type="dxa"/>
            <w:tcBorders>
              <w:bottom w:val="single" w:sz="4" w:space="0" w:color="auto"/>
            </w:tcBorders>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4" w:type="dxa"/>
            <w:tcBorders>
              <w:bottom w:val="single" w:sz="4" w:space="0" w:color="auto"/>
            </w:tcBorders>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(114)</w:t>
            </w:r>
          </w:p>
        </w:tc>
        <w:tc>
          <w:tcPr>
            <w:tcW w:w="993" w:type="dxa"/>
            <w:tcBorders>
              <w:bottom w:val="single" w:sz="4" w:space="0" w:color="auto"/>
            </w:tcBorders>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(20,804)</w:t>
            </w:r>
          </w:p>
        </w:tc>
      </w:tr>
      <w:tr w:rsidR="00B83890" w:rsidRPr="000D6558" w:rsidTr="00C427A6">
        <w:trPr>
          <w:trHeight w:val="173"/>
        </w:trPr>
        <w:tc>
          <w:tcPr>
            <w:tcW w:w="1702" w:type="dxa"/>
          </w:tcPr>
          <w:p w:rsidR="00B83890" w:rsidRPr="000D6558" w:rsidRDefault="00B83890" w:rsidP="006E6DC8">
            <w:pPr>
              <w:spacing w:before="60" w:after="60"/>
              <w:rPr>
                <w:b/>
                <w:snapToGrid w:val="0"/>
                <w:sz w:val="20"/>
                <w:szCs w:val="20"/>
                <w:lang w:eastAsia="en-US"/>
              </w:rPr>
            </w:pPr>
            <w:r w:rsidRPr="000D6558">
              <w:rPr>
                <w:b/>
                <w:snapToGrid w:val="0"/>
                <w:sz w:val="20"/>
                <w:szCs w:val="20"/>
                <w:lang w:eastAsia="en-US"/>
              </w:rPr>
              <w:t>Balance at 30 June 2012</w:t>
            </w:r>
          </w:p>
        </w:tc>
        <w:tc>
          <w:tcPr>
            <w:tcW w:w="1134" w:type="dxa"/>
          </w:tcPr>
          <w:p w:rsidR="00B83890" w:rsidRPr="000D6558" w:rsidRDefault="00B83890" w:rsidP="006E6DC8">
            <w:pPr>
              <w:spacing w:before="60" w:after="60"/>
              <w:jc w:val="right"/>
              <w:rPr>
                <w:snapToGrid w:val="0"/>
                <w:sz w:val="20"/>
                <w:szCs w:val="20"/>
                <w:lang w:eastAsia="en-US"/>
              </w:rPr>
            </w:pPr>
            <w:r w:rsidRPr="000D6558">
              <w:rPr>
                <w:b/>
                <w:snapToGrid w:val="0"/>
                <w:sz w:val="20"/>
                <w:szCs w:val="20"/>
                <w:lang w:eastAsia="en-US"/>
              </w:rPr>
              <w:t>153,982</w:t>
            </w:r>
          </w:p>
        </w:tc>
        <w:tc>
          <w:tcPr>
            <w:tcW w:w="1134" w:type="dxa"/>
          </w:tcPr>
          <w:p w:rsidR="00B83890" w:rsidRPr="000D6558" w:rsidRDefault="00B83890" w:rsidP="006E6DC8">
            <w:pPr>
              <w:spacing w:before="60" w:after="60"/>
              <w:jc w:val="right"/>
              <w:rPr>
                <w:snapToGrid w:val="0"/>
                <w:sz w:val="20"/>
                <w:szCs w:val="20"/>
                <w:lang w:eastAsia="en-US"/>
              </w:rPr>
            </w:pPr>
            <w:r w:rsidRPr="000D6558">
              <w:rPr>
                <w:b/>
                <w:snapToGrid w:val="0"/>
                <w:sz w:val="20"/>
                <w:szCs w:val="20"/>
                <w:lang w:eastAsia="en-US"/>
              </w:rPr>
              <w:t>369,212</w:t>
            </w:r>
          </w:p>
        </w:tc>
        <w:tc>
          <w:tcPr>
            <w:tcW w:w="1136" w:type="dxa"/>
          </w:tcPr>
          <w:p w:rsidR="00B83890" w:rsidRPr="000D6558" w:rsidRDefault="00B83890" w:rsidP="006E6DC8">
            <w:pPr>
              <w:spacing w:before="60" w:after="60"/>
              <w:jc w:val="right"/>
              <w:rPr>
                <w:snapToGrid w:val="0"/>
                <w:sz w:val="20"/>
                <w:szCs w:val="20"/>
                <w:lang w:eastAsia="en-US"/>
              </w:rPr>
            </w:pPr>
            <w:r w:rsidRPr="000D6558">
              <w:rPr>
                <w:b/>
                <w:snapToGrid w:val="0"/>
                <w:sz w:val="20"/>
                <w:szCs w:val="20"/>
                <w:lang w:eastAsia="en-US"/>
              </w:rPr>
              <w:t>4,754</w:t>
            </w:r>
          </w:p>
        </w:tc>
        <w:tc>
          <w:tcPr>
            <w:tcW w:w="1132" w:type="dxa"/>
          </w:tcPr>
          <w:p w:rsidR="00B83890" w:rsidRPr="000D6558" w:rsidRDefault="00B83890" w:rsidP="006E6DC8">
            <w:pPr>
              <w:spacing w:before="60" w:after="60"/>
              <w:jc w:val="right"/>
              <w:rPr>
                <w:snapToGrid w:val="0"/>
                <w:sz w:val="20"/>
                <w:szCs w:val="20"/>
                <w:lang w:eastAsia="en-US"/>
              </w:rPr>
            </w:pPr>
            <w:r w:rsidRPr="000D6558">
              <w:rPr>
                <w:b/>
                <w:snapToGrid w:val="0"/>
                <w:sz w:val="20"/>
                <w:szCs w:val="20"/>
                <w:lang w:eastAsia="en-US"/>
              </w:rPr>
              <w:t>3,510</w:t>
            </w:r>
          </w:p>
        </w:tc>
        <w:tc>
          <w:tcPr>
            <w:tcW w:w="992" w:type="dxa"/>
          </w:tcPr>
          <w:p w:rsidR="00B83890" w:rsidRPr="000D6558" w:rsidRDefault="00B83890" w:rsidP="006E6DC8">
            <w:pPr>
              <w:spacing w:before="60" w:after="60"/>
              <w:jc w:val="right"/>
              <w:rPr>
                <w:b/>
                <w:snapToGrid w:val="0"/>
                <w:sz w:val="20"/>
                <w:szCs w:val="20"/>
                <w:lang w:eastAsia="en-US"/>
              </w:rPr>
            </w:pPr>
            <w:r w:rsidRPr="000D6558">
              <w:rPr>
                <w:b/>
                <w:snapToGrid w:val="0"/>
                <w:sz w:val="20"/>
                <w:szCs w:val="20"/>
                <w:lang w:eastAsia="en-US"/>
              </w:rPr>
              <w:t>96</w:t>
            </w:r>
          </w:p>
        </w:tc>
        <w:tc>
          <w:tcPr>
            <w:tcW w:w="1134" w:type="dxa"/>
          </w:tcPr>
          <w:p w:rsidR="00B83890" w:rsidRPr="000D6558" w:rsidRDefault="00B83890" w:rsidP="006E6DC8">
            <w:pPr>
              <w:spacing w:before="60" w:after="60"/>
              <w:jc w:val="right"/>
              <w:rPr>
                <w:b/>
                <w:snapToGrid w:val="0"/>
                <w:sz w:val="20"/>
                <w:szCs w:val="20"/>
                <w:lang w:eastAsia="en-US"/>
              </w:rPr>
            </w:pPr>
            <w:r w:rsidRPr="000D6558">
              <w:rPr>
                <w:b/>
                <w:snapToGrid w:val="0"/>
                <w:sz w:val="20"/>
                <w:szCs w:val="20"/>
                <w:lang w:eastAsia="en-US"/>
              </w:rPr>
              <w:t>500,709</w:t>
            </w:r>
          </w:p>
        </w:tc>
        <w:tc>
          <w:tcPr>
            <w:tcW w:w="993" w:type="dxa"/>
          </w:tcPr>
          <w:p w:rsidR="00B83890" w:rsidRPr="000D6558" w:rsidRDefault="00B83890" w:rsidP="006E6DC8">
            <w:pPr>
              <w:spacing w:before="60" w:after="60"/>
              <w:jc w:val="right"/>
              <w:rPr>
                <w:snapToGrid w:val="0"/>
                <w:sz w:val="20"/>
                <w:szCs w:val="20"/>
                <w:lang w:eastAsia="en-US"/>
              </w:rPr>
            </w:pPr>
            <w:r w:rsidRPr="000D6558">
              <w:rPr>
                <w:b/>
                <w:snapToGrid w:val="0"/>
                <w:sz w:val="20"/>
                <w:szCs w:val="20"/>
                <w:lang w:eastAsia="en-US"/>
              </w:rPr>
              <w:t>1,032,263</w:t>
            </w:r>
          </w:p>
        </w:tc>
      </w:tr>
      <w:tr w:rsidR="00B83890" w:rsidRPr="000D6558" w:rsidTr="00C427A6">
        <w:trPr>
          <w:trHeight w:val="173"/>
        </w:trPr>
        <w:tc>
          <w:tcPr>
            <w:tcW w:w="1702" w:type="dxa"/>
          </w:tcPr>
          <w:p w:rsidR="00B83890" w:rsidRPr="000D6558" w:rsidRDefault="00B83890" w:rsidP="006E6DC8">
            <w:pPr>
              <w:spacing w:before="60" w:after="60"/>
              <w:rPr>
                <w:b/>
                <w:snapToGrid w:val="0"/>
                <w:sz w:val="20"/>
                <w:szCs w:val="20"/>
                <w:lang w:eastAsia="en-US"/>
              </w:rPr>
            </w:pPr>
            <w:r w:rsidRPr="000D6558">
              <w:rPr>
                <w:snapToGrid w:val="0"/>
                <w:sz w:val="20"/>
                <w:szCs w:val="20"/>
                <w:lang w:eastAsia="en-US"/>
              </w:rPr>
              <w:t>Additions</w:t>
            </w:r>
          </w:p>
        </w:tc>
        <w:tc>
          <w:tcPr>
            <w:tcW w:w="1134"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4"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116</w:t>
            </w:r>
          </w:p>
        </w:tc>
        <w:tc>
          <w:tcPr>
            <w:tcW w:w="1136"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1,745</w:t>
            </w:r>
          </w:p>
        </w:tc>
        <w:tc>
          <w:tcPr>
            <w:tcW w:w="1132"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992"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244</w:t>
            </w:r>
          </w:p>
        </w:tc>
        <w:tc>
          <w:tcPr>
            <w:tcW w:w="1134"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883</w:t>
            </w:r>
          </w:p>
        </w:tc>
        <w:tc>
          <w:tcPr>
            <w:tcW w:w="993"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2,988</w:t>
            </w:r>
          </w:p>
        </w:tc>
      </w:tr>
      <w:tr w:rsidR="00B83890" w:rsidRPr="000D6558" w:rsidTr="00C427A6">
        <w:trPr>
          <w:trHeight w:val="173"/>
        </w:trPr>
        <w:tc>
          <w:tcPr>
            <w:tcW w:w="1702" w:type="dxa"/>
          </w:tcPr>
          <w:p w:rsidR="00B83890" w:rsidRPr="000D6558" w:rsidRDefault="00B83890" w:rsidP="006E6DC8">
            <w:pPr>
              <w:spacing w:before="60" w:after="60"/>
              <w:rPr>
                <w:b/>
                <w:snapToGrid w:val="0"/>
                <w:sz w:val="20"/>
                <w:szCs w:val="20"/>
                <w:lang w:eastAsia="en-US"/>
              </w:rPr>
            </w:pPr>
            <w:r w:rsidRPr="000D6558">
              <w:rPr>
                <w:snapToGrid w:val="0"/>
                <w:sz w:val="20"/>
                <w:szCs w:val="20"/>
                <w:lang w:eastAsia="en-US"/>
              </w:rPr>
              <w:t>Disposals</w:t>
            </w:r>
          </w:p>
        </w:tc>
        <w:tc>
          <w:tcPr>
            <w:tcW w:w="1134"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4"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6"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(35)</w:t>
            </w:r>
          </w:p>
        </w:tc>
        <w:tc>
          <w:tcPr>
            <w:tcW w:w="1132"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(12)</w:t>
            </w:r>
          </w:p>
        </w:tc>
        <w:tc>
          <w:tcPr>
            <w:tcW w:w="992"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4"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(149)</w:t>
            </w:r>
          </w:p>
        </w:tc>
        <w:tc>
          <w:tcPr>
            <w:tcW w:w="993"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(196)</w:t>
            </w:r>
          </w:p>
        </w:tc>
      </w:tr>
      <w:tr w:rsidR="00B83890" w:rsidRPr="000D6558" w:rsidTr="00C427A6">
        <w:trPr>
          <w:trHeight w:val="173"/>
        </w:trPr>
        <w:tc>
          <w:tcPr>
            <w:tcW w:w="1702" w:type="dxa"/>
          </w:tcPr>
          <w:p w:rsidR="00B83890" w:rsidRPr="000D6558" w:rsidRDefault="00B83890" w:rsidP="006E6DC8">
            <w:pPr>
              <w:spacing w:before="60" w:after="60"/>
              <w:rPr>
                <w:snapToGrid w:val="0"/>
                <w:sz w:val="20"/>
                <w:szCs w:val="20"/>
                <w:lang w:eastAsia="en-US"/>
              </w:rPr>
            </w:pPr>
            <w:r w:rsidRPr="000D6558">
              <w:rPr>
                <w:snapToGrid w:val="0"/>
                <w:sz w:val="20"/>
                <w:szCs w:val="20"/>
                <w:lang w:eastAsia="en-US"/>
              </w:rPr>
              <w:t>Asset revaluation</w:t>
            </w:r>
          </w:p>
        </w:tc>
        <w:tc>
          <w:tcPr>
            <w:tcW w:w="1134"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4"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6"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2"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992"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4"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993" w:type="dxa"/>
            <w:vAlign w:val="bottom"/>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r>
      <w:tr w:rsidR="00B83890" w:rsidRPr="000D6558" w:rsidTr="00C427A6">
        <w:trPr>
          <w:trHeight w:val="173"/>
        </w:trPr>
        <w:tc>
          <w:tcPr>
            <w:tcW w:w="1702" w:type="dxa"/>
          </w:tcPr>
          <w:p w:rsidR="00B83890" w:rsidRPr="000D6558" w:rsidRDefault="00B83890" w:rsidP="006E6DC8">
            <w:pPr>
              <w:spacing w:before="60" w:after="60"/>
              <w:rPr>
                <w:snapToGrid w:val="0"/>
                <w:sz w:val="20"/>
                <w:szCs w:val="20"/>
                <w:lang w:eastAsia="en-US"/>
              </w:rPr>
            </w:pPr>
            <w:r w:rsidRPr="000D6558">
              <w:rPr>
                <w:snapToGrid w:val="0"/>
                <w:sz w:val="20"/>
                <w:szCs w:val="20"/>
                <w:lang w:eastAsia="en-US"/>
              </w:rPr>
              <w:t>Transfers</w:t>
            </w:r>
          </w:p>
        </w:tc>
        <w:tc>
          <w:tcPr>
            <w:tcW w:w="1134"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4"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6"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2"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992"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4"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993" w:type="dxa"/>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r>
      <w:tr w:rsidR="00B83890" w:rsidRPr="000D6558" w:rsidTr="00C427A6">
        <w:trPr>
          <w:trHeight w:val="173"/>
        </w:trPr>
        <w:tc>
          <w:tcPr>
            <w:tcW w:w="1702" w:type="dxa"/>
          </w:tcPr>
          <w:p w:rsidR="00B83890" w:rsidRPr="000D6558" w:rsidRDefault="00B83890" w:rsidP="006E6DC8">
            <w:pPr>
              <w:spacing w:before="60" w:after="60"/>
              <w:rPr>
                <w:snapToGrid w:val="0"/>
                <w:sz w:val="20"/>
                <w:szCs w:val="20"/>
                <w:lang w:eastAsia="en-US"/>
              </w:rPr>
            </w:pPr>
            <w:r w:rsidRPr="000D6558">
              <w:rPr>
                <w:snapToGrid w:val="0"/>
                <w:sz w:val="20"/>
                <w:szCs w:val="20"/>
                <w:lang w:eastAsia="en-US"/>
              </w:rPr>
              <w:t>Depreciation</w:t>
            </w:r>
          </w:p>
        </w:tc>
        <w:tc>
          <w:tcPr>
            <w:tcW w:w="1134" w:type="dxa"/>
            <w:tcBorders>
              <w:bottom w:val="single" w:sz="4" w:space="0" w:color="auto"/>
            </w:tcBorders>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4" w:type="dxa"/>
            <w:tcBorders>
              <w:bottom w:val="single" w:sz="4" w:space="0" w:color="auto"/>
            </w:tcBorders>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(15,557)</w:t>
            </w:r>
          </w:p>
        </w:tc>
        <w:tc>
          <w:tcPr>
            <w:tcW w:w="1136" w:type="dxa"/>
            <w:tcBorders>
              <w:bottom w:val="single" w:sz="4" w:space="0" w:color="auto"/>
            </w:tcBorders>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(1,599)</w:t>
            </w:r>
          </w:p>
        </w:tc>
        <w:tc>
          <w:tcPr>
            <w:tcW w:w="1132" w:type="dxa"/>
            <w:tcBorders>
              <w:bottom w:val="single" w:sz="4" w:space="0" w:color="auto"/>
            </w:tcBorders>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(1,909)</w:t>
            </w:r>
          </w:p>
        </w:tc>
        <w:tc>
          <w:tcPr>
            <w:tcW w:w="992" w:type="dxa"/>
            <w:tcBorders>
              <w:bottom w:val="single" w:sz="4" w:space="0" w:color="auto"/>
            </w:tcBorders>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0</w:t>
            </w:r>
          </w:p>
        </w:tc>
        <w:tc>
          <w:tcPr>
            <w:tcW w:w="1134" w:type="dxa"/>
            <w:tcBorders>
              <w:bottom w:val="single" w:sz="4" w:space="0" w:color="auto"/>
            </w:tcBorders>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(116)</w:t>
            </w:r>
          </w:p>
        </w:tc>
        <w:tc>
          <w:tcPr>
            <w:tcW w:w="993" w:type="dxa"/>
            <w:tcBorders>
              <w:bottom w:val="single" w:sz="4" w:space="0" w:color="auto"/>
            </w:tcBorders>
          </w:tcPr>
          <w:p w:rsidR="00B83890" w:rsidRPr="000D6558" w:rsidRDefault="00B83890" w:rsidP="006E6DC8">
            <w:pPr>
              <w:spacing w:before="60" w:after="60"/>
              <w:jc w:val="right"/>
              <w:rPr>
                <w:snapToGrid w:val="0"/>
                <w:sz w:val="20"/>
                <w:szCs w:val="20"/>
                <w:lang w:eastAsia="en-US"/>
              </w:rPr>
            </w:pPr>
            <w:r w:rsidRPr="000D6558">
              <w:rPr>
                <w:snapToGrid w:val="0"/>
                <w:sz w:val="20"/>
                <w:szCs w:val="20"/>
                <w:lang w:eastAsia="en-US"/>
              </w:rPr>
              <w:t>(19,181)</w:t>
            </w:r>
          </w:p>
        </w:tc>
      </w:tr>
      <w:tr w:rsidR="00B83890" w:rsidRPr="000D6558" w:rsidTr="00C427A6">
        <w:trPr>
          <w:trHeight w:val="173"/>
        </w:trPr>
        <w:tc>
          <w:tcPr>
            <w:tcW w:w="1702" w:type="dxa"/>
          </w:tcPr>
          <w:p w:rsidR="00B83890" w:rsidRPr="000D6558" w:rsidRDefault="00B83890" w:rsidP="006E6DC8">
            <w:pPr>
              <w:spacing w:before="60" w:after="60"/>
              <w:rPr>
                <w:b/>
                <w:snapToGrid w:val="0"/>
                <w:sz w:val="20"/>
                <w:szCs w:val="20"/>
                <w:lang w:eastAsia="en-US"/>
              </w:rPr>
            </w:pPr>
            <w:r w:rsidRPr="000D6558">
              <w:rPr>
                <w:b/>
                <w:snapToGrid w:val="0"/>
                <w:sz w:val="20"/>
                <w:szCs w:val="20"/>
                <w:lang w:eastAsia="en-US"/>
              </w:rPr>
              <w:t>Balance at 30 June 2013</w:t>
            </w:r>
          </w:p>
        </w:tc>
        <w:tc>
          <w:tcPr>
            <w:tcW w:w="1134" w:type="dxa"/>
            <w:tcBorders>
              <w:top w:val="single" w:sz="4" w:space="0" w:color="auto"/>
              <w:bottom w:val="double" w:sz="4" w:space="0" w:color="auto"/>
            </w:tcBorders>
          </w:tcPr>
          <w:p w:rsidR="00B83890" w:rsidRPr="000D6558" w:rsidRDefault="00B83890" w:rsidP="006E6DC8">
            <w:pPr>
              <w:spacing w:before="60" w:after="60"/>
              <w:jc w:val="right"/>
              <w:rPr>
                <w:snapToGrid w:val="0"/>
                <w:sz w:val="20"/>
                <w:szCs w:val="20"/>
                <w:lang w:eastAsia="en-US"/>
              </w:rPr>
            </w:pPr>
            <w:r w:rsidRPr="000D6558">
              <w:rPr>
                <w:b/>
                <w:snapToGrid w:val="0"/>
                <w:sz w:val="20"/>
                <w:szCs w:val="20"/>
                <w:lang w:eastAsia="en-US"/>
              </w:rPr>
              <w:t>153,982</w:t>
            </w:r>
          </w:p>
        </w:tc>
        <w:tc>
          <w:tcPr>
            <w:tcW w:w="1134" w:type="dxa"/>
            <w:tcBorders>
              <w:top w:val="single" w:sz="4" w:space="0" w:color="auto"/>
              <w:bottom w:val="double" w:sz="4" w:space="0" w:color="auto"/>
            </w:tcBorders>
          </w:tcPr>
          <w:p w:rsidR="00B83890" w:rsidRPr="000D6558" w:rsidRDefault="00B83890" w:rsidP="006E6DC8">
            <w:pPr>
              <w:spacing w:before="60" w:after="60"/>
              <w:jc w:val="right"/>
              <w:rPr>
                <w:b/>
                <w:snapToGrid w:val="0"/>
                <w:sz w:val="20"/>
                <w:szCs w:val="20"/>
                <w:lang w:eastAsia="en-US"/>
              </w:rPr>
            </w:pPr>
            <w:r w:rsidRPr="000D6558">
              <w:rPr>
                <w:b/>
                <w:snapToGrid w:val="0"/>
                <w:sz w:val="20"/>
                <w:szCs w:val="20"/>
                <w:lang w:eastAsia="en-US"/>
              </w:rPr>
              <w:t>353,771</w:t>
            </w:r>
          </w:p>
        </w:tc>
        <w:tc>
          <w:tcPr>
            <w:tcW w:w="1136" w:type="dxa"/>
            <w:tcBorders>
              <w:top w:val="single" w:sz="4" w:space="0" w:color="auto"/>
              <w:bottom w:val="double" w:sz="4" w:space="0" w:color="auto"/>
            </w:tcBorders>
          </w:tcPr>
          <w:p w:rsidR="00B83890" w:rsidRPr="000D6558" w:rsidRDefault="00B83890" w:rsidP="006E6DC8">
            <w:pPr>
              <w:spacing w:before="60" w:after="60"/>
              <w:jc w:val="right"/>
              <w:rPr>
                <w:b/>
                <w:snapToGrid w:val="0"/>
                <w:sz w:val="20"/>
                <w:szCs w:val="20"/>
                <w:lang w:eastAsia="en-US"/>
              </w:rPr>
            </w:pPr>
            <w:r w:rsidRPr="000D6558">
              <w:rPr>
                <w:b/>
                <w:snapToGrid w:val="0"/>
                <w:sz w:val="20"/>
                <w:szCs w:val="20"/>
                <w:lang w:eastAsia="en-US"/>
              </w:rPr>
              <w:t>4,865</w:t>
            </w:r>
          </w:p>
        </w:tc>
        <w:tc>
          <w:tcPr>
            <w:tcW w:w="1132" w:type="dxa"/>
            <w:tcBorders>
              <w:top w:val="single" w:sz="4" w:space="0" w:color="auto"/>
              <w:bottom w:val="double" w:sz="4" w:space="0" w:color="auto"/>
            </w:tcBorders>
          </w:tcPr>
          <w:p w:rsidR="00B83890" w:rsidRPr="000D6558" w:rsidRDefault="00B83890" w:rsidP="006E6DC8">
            <w:pPr>
              <w:spacing w:before="60" w:after="60"/>
              <w:jc w:val="right"/>
              <w:rPr>
                <w:b/>
                <w:snapToGrid w:val="0"/>
                <w:sz w:val="20"/>
                <w:szCs w:val="20"/>
                <w:lang w:eastAsia="en-US"/>
              </w:rPr>
            </w:pPr>
            <w:r w:rsidRPr="000D6558">
              <w:rPr>
                <w:b/>
                <w:snapToGrid w:val="0"/>
                <w:sz w:val="20"/>
                <w:szCs w:val="20"/>
                <w:lang w:eastAsia="en-US"/>
              </w:rPr>
              <w:t>1,589</w:t>
            </w:r>
          </w:p>
        </w:tc>
        <w:tc>
          <w:tcPr>
            <w:tcW w:w="992" w:type="dxa"/>
            <w:tcBorders>
              <w:top w:val="single" w:sz="4" w:space="0" w:color="auto"/>
              <w:bottom w:val="double" w:sz="4" w:space="0" w:color="auto"/>
            </w:tcBorders>
          </w:tcPr>
          <w:p w:rsidR="00B83890" w:rsidRPr="000D6558" w:rsidRDefault="00B83890" w:rsidP="006E6DC8">
            <w:pPr>
              <w:spacing w:before="60" w:after="60"/>
              <w:jc w:val="right"/>
              <w:rPr>
                <w:b/>
                <w:snapToGrid w:val="0"/>
                <w:sz w:val="20"/>
                <w:szCs w:val="20"/>
                <w:lang w:eastAsia="en-US"/>
              </w:rPr>
            </w:pPr>
            <w:r w:rsidRPr="000D6558">
              <w:rPr>
                <w:b/>
                <w:snapToGrid w:val="0"/>
                <w:sz w:val="20"/>
                <w:szCs w:val="20"/>
                <w:lang w:eastAsia="en-US"/>
              </w:rPr>
              <w:t>340</w:t>
            </w:r>
          </w:p>
        </w:tc>
        <w:tc>
          <w:tcPr>
            <w:tcW w:w="1134" w:type="dxa"/>
            <w:tcBorders>
              <w:top w:val="single" w:sz="4" w:space="0" w:color="auto"/>
              <w:bottom w:val="double" w:sz="4" w:space="0" w:color="auto"/>
            </w:tcBorders>
          </w:tcPr>
          <w:p w:rsidR="00B83890" w:rsidRPr="000D6558" w:rsidRDefault="00B83890" w:rsidP="006E6DC8">
            <w:pPr>
              <w:spacing w:before="60" w:after="60"/>
              <w:jc w:val="right"/>
              <w:rPr>
                <w:b/>
                <w:snapToGrid w:val="0"/>
                <w:sz w:val="20"/>
                <w:szCs w:val="20"/>
                <w:lang w:eastAsia="en-US"/>
              </w:rPr>
            </w:pPr>
            <w:r w:rsidRPr="000D6558">
              <w:rPr>
                <w:b/>
                <w:snapToGrid w:val="0"/>
                <w:sz w:val="20"/>
                <w:szCs w:val="20"/>
                <w:lang w:eastAsia="en-US"/>
              </w:rPr>
              <w:t>501,327</w:t>
            </w:r>
          </w:p>
        </w:tc>
        <w:tc>
          <w:tcPr>
            <w:tcW w:w="993" w:type="dxa"/>
            <w:tcBorders>
              <w:top w:val="single" w:sz="4" w:space="0" w:color="auto"/>
              <w:bottom w:val="double" w:sz="4" w:space="0" w:color="auto"/>
            </w:tcBorders>
          </w:tcPr>
          <w:p w:rsidR="00B83890" w:rsidRPr="000D6558" w:rsidRDefault="00B83890" w:rsidP="006E6DC8">
            <w:pPr>
              <w:spacing w:before="60" w:after="60"/>
              <w:jc w:val="right"/>
              <w:rPr>
                <w:snapToGrid w:val="0"/>
                <w:sz w:val="20"/>
                <w:szCs w:val="20"/>
                <w:lang w:eastAsia="en-US"/>
              </w:rPr>
            </w:pPr>
            <w:r w:rsidRPr="000D6558">
              <w:rPr>
                <w:b/>
                <w:snapToGrid w:val="0"/>
                <w:sz w:val="20"/>
                <w:szCs w:val="20"/>
                <w:lang w:eastAsia="en-US"/>
              </w:rPr>
              <w:t>1,015,874</w:t>
            </w:r>
          </w:p>
        </w:tc>
      </w:tr>
    </w:tbl>
    <w:p w:rsidR="00B83890" w:rsidRDefault="00B83890" w:rsidP="00B83890">
      <w:pPr>
        <w:pStyle w:val="Heading2"/>
        <w:rPr>
          <w:i/>
        </w:rPr>
      </w:pPr>
    </w:p>
    <w:p w:rsidR="00B83890" w:rsidRPr="000D6558" w:rsidRDefault="00B83890" w:rsidP="00B83890"/>
    <w:p w:rsidR="00B83890" w:rsidRPr="000D6558" w:rsidRDefault="00B83890" w:rsidP="00513943">
      <w:pPr>
        <w:pStyle w:val="Heading3"/>
        <w:rPr>
          <w:i/>
        </w:rPr>
      </w:pPr>
      <w:r w:rsidRPr="000D6558">
        <w:t>10.</w:t>
      </w:r>
      <w:r w:rsidRPr="000D6558">
        <w:tab/>
        <w:t>PAYABLES</w:t>
      </w:r>
    </w:p>
    <w:tbl>
      <w:tblPr>
        <w:tblW w:w="9245" w:type="dxa"/>
        <w:tblLayout w:type="fixed"/>
        <w:tblCellMar>
          <w:left w:w="31" w:type="dxa"/>
          <w:right w:w="31" w:type="dxa"/>
        </w:tblCellMar>
        <w:tblLook w:val="0000" w:firstRow="0" w:lastRow="0" w:firstColumn="0" w:lastColumn="0" w:noHBand="0" w:noVBand="0"/>
        <w:tblCaption w:val="Payables"/>
        <w:tblDescription w:val="This table shows Payables for 2012–13 with comparison to 2011–12."/>
      </w:tblPr>
      <w:tblGrid>
        <w:gridCol w:w="6552"/>
        <w:gridCol w:w="1276"/>
        <w:gridCol w:w="1417"/>
      </w:tblGrid>
      <w:tr w:rsidR="00B83890" w:rsidTr="006E6DC8">
        <w:trPr>
          <w:cantSplit/>
          <w:trHeight w:val="255"/>
        </w:trPr>
        <w:tc>
          <w:tcPr>
            <w:tcW w:w="6552" w:type="dxa"/>
            <w:vAlign w:val="center"/>
          </w:tcPr>
          <w:p w:rsidR="00B83890" w:rsidRDefault="00B83890" w:rsidP="006E6DC8">
            <w:pPr>
              <w:ind w:left="720"/>
              <w:rPr>
                <w:color w:val="000000"/>
                <w:lang w:val="en-GB"/>
              </w:rPr>
            </w:pPr>
          </w:p>
        </w:tc>
        <w:tc>
          <w:tcPr>
            <w:tcW w:w="1276" w:type="dxa"/>
          </w:tcPr>
          <w:p w:rsidR="00B83890" w:rsidRDefault="00B83890" w:rsidP="006E6DC8">
            <w:pPr>
              <w:jc w:val="right"/>
              <w:rPr>
                <w:b/>
                <w:i/>
                <w:sz w:val="18"/>
                <w:lang w:val="en-GB"/>
              </w:rPr>
            </w:pPr>
            <w:r>
              <w:rPr>
                <w:b/>
                <w:lang w:val="en-GB"/>
              </w:rPr>
              <w:t>2013</w:t>
            </w:r>
          </w:p>
        </w:tc>
        <w:tc>
          <w:tcPr>
            <w:tcW w:w="1417" w:type="dxa"/>
          </w:tcPr>
          <w:p w:rsidR="00B83890" w:rsidRDefault="00B83890" w:rsidP="006E6DC8">
            <w:pPr>
              <w:jc w:val="right"/>
              <w:rPr>
                <w:b/>
                <w:i/>
                <w:sz w:val="18"/>
                <w:lang w:val="en-GB"/>
              </w:rPr>
            </w:pPr>
            <w:r>
              <w:rPr>
                <w:b/>
                <w:lang w:val="en-GB"/>
              </w:rPr>
              <w:t>2012</w:t>
            </w:r>
          </w:p>
        </w:tc>
      </w:tr>
      <w:tr w:rsidR="00B83890" w:rsidTr="006E6DC8">
        <w:trPr>
          <w:cantSplit/>
          <w:trHeight w:val="255"/>
        </w:trPr>
        <w:tc>
          <w:tcPr>
            <w:tcW w:w="6552" w:type="dxa"/>
            <w:vAlign w:val="center"/>
          </w:tcPr>
          <w:p w:rsidR="00B83890" w:rsidRDefault="00B83890" w:rsidP="006E6DC8">
            <w:pPr>
              <w:ind w:left="720"/>
              <w:rPr>
                <w:color w:val="000000"/>
                <w:lang w:val="en-GB"/>
              </w:rPr>
            </w:pPr>
          </w:p>
        </w:tc>
        <w:tc>
          <w:tcPr>
            <w:tcW w:w="1276" w:type="dxa"/>
            <w:vAlign w:val="center"/>
          </w:tcPr>
          <w:p w:rsidR="00B83890" w:rsidRDefault="00B83890" w:rsidP="006E6DC8">
            <w:pPr>
              <w:jc w:val="right"/>
              <w:rPr>
                <w:b/>
                <w:lang w:val="en-GB"/>
              </w:rPr>
            </w:pPr>
            <w:r>
              <w:rPr>
                <w:b/>
                <w:lang w:val="en-GB"/>
              </w:rPr>
              <w:t>$’000</w:t>
            </w:r>
          </w:p>
        </w:tc>
        <w:tc>
          <w:tcPr>
            <w:tcW w:w="1417" w:type="dxa"/>
            <w:vAlign w:val="center"/>
          </w:tcPr>
          <w:p w:rsidR="00B83890" w:rsidRDefault="00B83890" w:rsidP="006E6DC8">
            <w:pPr>
              <w:jc w:val="right"/>
              <w:rPr>
                <w:b/>
                <w:lang w:val="en-GB"/>
              </w:rPr>
            </w:pPr>
            <w:r>
              <w:rPr>
                <w:b/>
                <w:lang w:val="en-GB"/>
              </w:rPr>
              <w:t>$’000</w:t>
            </w:r>
          </w:p>
        </w:tc>
      </w:tr>
      <w:tr w:rsidR="00B83890" w:rsidTr="006E6DC8">
        <w:trPr>
          <w:cantSplit/>
          <w:trHeight w:val="255"/>
        </w:trPr>
        <w:tc>
          <w:tcPr>
            <w:tcW w:w="6552" w:type="dxa"/>
            <w:vAlign w:val="center"/>
          </w:tcPr>
          <w:p w:rsidR="00B83890" w:rsidRPr="00061C23" w:rsidRDefault="00B83890" w:rsidP="006E6DC8">
            <w:pPr>
              <w:ind w:left="720"/>
              <w:rPr>
                <w:b/>
                <w:color w:val="000000"/>
                <w:lang w:val="en-GB"/>
              </w:rPr>
            </w:pPr>
            <w:r w:rsidRPr="00061C23">
              <w:rPr>
                <w:b/>
                <w:color w:val="000000"/>
                <w:lang w:val="en-GB"/>
              </w:rPr>
              <w:t xml:space="preserve">Current Contractual </w:t>
            </w:r>
          </w:p>
        </w:tc>
        <w:tc>
          <w:tcPr>
            <w:tcW w:w="1276" w:type="dxa"/>
            <w:vAlign w:val="center"/>
          </w:tcPr>
          <w:p w:rsidR="00B83890" w:rsidRDefault="00B83890" w:rsidP="006E6DC8">
            <w:pPr>
              <w:jc w:val="right"/>
              <w:rPr>
                <w:lang w:val="en-GB"/>
              </w:rPr>
            </w:pPr>
          </w:p>
        </w:tc>
        <w:tc>
          <w:tcPr>
            <w:tcW w:w="1417" w:type="dxa"/>
            <w:vAlign w:val="center"/>
          </w:tcPr>
          <w:p w:rsidR="00B83890" w:rsidRDefault="00B83890" w:rsidP="006E6DC8">
            <w:pPr>
              <w:jc w:val="right"/>
              <w:rPr>
                <w:lang w:val="en-GB"/>
              </w:rPr>
            </w:pPr>
          </w:p>
        </w:tc>
      </w:tr>
      <w:tr w:rsidR="00B83890" w:rsidTr="006E6DC8">
        <w:trPr>
          <w:cantSplit/>
          <w:trHeight w:val="255"/>
        </w:trPr>
        <w:tc>
          <w:tcPr>
            <w:tcW w:w="6552" w:type="dxa"/>
            <w:vAlign w:val="center"/>
          </w:tcPr>
          <w:p w:rsidR="00B83890" w:rsidRDefault="00B83890" w:rsidP="006E6DC8">
            <w:pPr>
              <w:ind w:left="720"/>
              <w:rPr>
                <w:color w:val="000000"/>
                <w:lang w:val="en-GB"/>
              </w:rPr>
            </w:pPr>
            <w:r>
              <w:rPr>
                <w:color w:val="000000"/>
                <w:lang w:val="en-GB"/>
              </w:rPr>
              <w:t>Trade Creditors</w:t>
            </w:r>
          </w:p>
        </w:tc>
        <w:tc>
          <w:tcPr>
            <w:tcW w:w="1276" w:type="dxa"/>
            <w:vAlign w:val="center"/>
          </w:tcPr>
          <w:p w:rsidR="00B83890" w:rsidRDefault="00B83890" w:rsidP="006E6DC8">
            <w:pPr>
              <w:jc w:val="right"/>
              <w:rPr>
                <w:lang w:val="en-GB"/>
              </w:rPr>
            </w:pPr>
            <w:r>
              <w:rPr>
                <w:lang w:val="en-GB"/>
              </w:rPr>
              <w:t>1,742</w:t>
            </w:r>
          </w:p>
        </w:tc>
        <w:tc>
          <w:tcPr>
            <w:tcW w:w="1417" w:type="dxa"/>
            <w:vAlign w:val="center"/>
          </w:tcPr>
          <w:p w:rsidR="00B83890" w:rsidRDefault="00B83890" w:rsidP="006E6DC8">
            <w:pPr>
              <w:jc w:val="right"/>
              <w:rPr>
                <w:lang w:val="en-GB"/>
              </w:rPr>
            </w:pPr>
            <w:r>
              <w:rPr>
                <w:lang w:val="en-GB"/>
              </w:rPr>
              <w:t>2,155</w:t>
            </w:r>
          </w:p>
        </w:tc>
      </w:tr>
      <w:tr w:rsidR="00B83890" w:rsidTr="006E6DC8">
        <w:trPr>
          <w:cantSplit/>
          <w:trHeight w:val="255"/>
        </w:trPr>
        <w:tc>
          <w:tcPr>
            <w:tcW w:w="6552" w:type="dxa"/>
            <w:vAlign w:val="center"/>
          </w:tcPr>
          <w:p w:rsidR="00B83890" w:rsidRDefault="00B83890" w:rsidP="006E6DC8">
            <w:pPr>
              <w:ind w:left="720"/>
              <w:rPr>
                <w:color w:val="000000"/>
                <w:lang w:val="en-GB"/>
              </w:rPr>
            </w:pPr>
            <w:r>
              <w:rPr>
                <w:color w:val="000000"/>
                <w:lang w:val="en-GB"/>
              </w:rPr>
              <w:t xml:space="preserve">Other </w:t>
            </w:r>
            <w:r w:rsidRPr="008F09DA">
              <w:rPr>
                <w:color w:val="000000"/>
                <w:lang w:val="en-GB"/>
              </w:rPr>
              <w:t>Payables</w:t>
            </w:r>
          </w:p>
        </w:tc>
        <w:tc>
          <w:tcPr>
            <w:tcW w:w="1276" w:type="dxa"/>
            <w:vAlign w:val="center"/>
          </w:tcPr>
          <w:p w:rsidR="00B83890" w:rsidRDefault="00B83890" w:rsidP="006E6DC8">
            <w:pPr>
              <w:jc w:val="right"/>
              <w:rPr>
                <w:lang w:val="en-GB"/>
              </w:rPr>
            </w:pPr>
            <w:r>
              <w:rPr>
                <w:lang w:val="en-GB"/>
              </w:rPr>
              <w:t>2,981</w:t>
            </w:r>
          </w:p>
        </w:tc>
        <w:tc>
          <w:tcPr>
            <w:tcW w:w="1417" w:type="dxa"/>
            <w:vAlign w:val="center"/>
          </w:tcPr>
          <w:p w:rsidR="00B83890" w:rsidRDefault="00B83890" w:rsidP="006E6DC8">
            <w:pPr>
              <w:jc w:val="right"/>
              <w:rPr>
                <w:lang w:val="en-GB"/>
              </w:rPr>
            </w:pPr>
            <w:r>
              <w:rPr>
                <w:lang w:val="en-GB"/>
              </w:rPr>
              <w:t>3,705</w:t>
            </w:r>
          </w:p>
        </w:tc>
      </w:tr>
      <w:tr w:rsidR="00B83890" w:rsidTr="006E6DC8">
        <w:trPr>
          <w:cantSplit/>
          <w:trHeight w:val="255"/>
        </w:trPr>
        <w:tc>
          <w:tcPr>
            <w:tcW w:w="6552" w:type="dxa"/>
            <w:vAlign w:val="center"/>
          </w:tcPr>
          <w:p w:rsidR="00B83890" w:rsidRDefault="00B83890" w:rsidP="006E6DC8">
            <w:pPr>
              <w:rPr>
                <w:color w:val="000000"/>
                <w:lang w:val="en-GB"/>
              </w:rPr>
            </w:pPr>
            <w:r>
              <w:rPr>
                <w:color w:val="000000"/>
                <w:lang w:val="en-GB"/>
              </w:rPr>
              <w:tab/>
              <w:t>Accrued Salaries</w:t>
            </w:r>
          </w:p>
        </w:tc>
        <w:tc>
          <w:tcPr>
            <w:tcW w:w="1276" w:type="dxa"/>
            <w:vAlign w:val="center"/>
          </w:tcPr>
          <w:p w:rsidR="00B83890" w:rsidRDefault="00B83890" w:rsidP="006E6DC8">
            <w:pPr>
              <w:jc w:val="right"/>
              <w:rPr>
                <w:lang w:val="en-GB"/>
              </w:rPr>
            </w:pPr>
            <w:r>
              <w:rPr>
                <w:lang w:val="en-GB"/>
              </w:rPr>
              <w:t>459</w:t>
            </w:r>
          </w:p>
        </w:tc>
        <w:tc>
          <w:tcPr>
            <w:tcW w:w="1417" w:type="dxa"/>
            <w:vAlign w:val="center"/>
          </w:tcPr>
          <w:p w:rsidR="00B83890" w:rsidRDefault="00B83890" w:rsidP="006E6DC8">
            <w:pPr>
              <w:jc w:val="right"/>
              <w:rPr>
                <w:lang w:val="en-GB"/>
              </w:rPr>
            </w:pPr>
            <w:r>
              <w:rPr>
                <w:lang w:val="en-GB"/>
              </w:rPr>
              <w:t>251</w:t>
            </w:r>
          </w:p>
        </w:tc>
      </w:tr>
      <w:tr w:rsidR="00B83890" w:rsidTr="006E6DC8">
        <w:trPr>
          <w:cantSplit/>
          <w:trHeight w:val="206"/>
        </w:trPr>
        <w:tc>
          <w:tcPr>
            <w:tcW w:w="6552" w:type="dxa"/>
            <w:tcBorders>
              <w:top w:val="single" w:sz="4" w:space="0" w:color="auto"/>
              <w:bottom w:val="double" w:sz="4" w:space="0" w:color="auto"/>
            </w:tcBorders>
          </w:tcPr>
          <w:p w:rsidR="00B83890" w:rsidRDefault="00B83890" w:rsidP="006E6DC8">
            <w:pPr>
              <w:pStyle w:val="total"/>
              <w:rPr>
                <w:sz w:val="20"/>
              </w:rPr>
            </w:pPr>
            <w:r>
              <w:rPr>
                <w:sz w:val="20"/>
              </w:rPr>
              <w:t>Total</w:t>
            </w:r>
          </w:p>
        </w:tc>
        <w:tc>
          <w:tcPr>
            <w:tcW w:w="1276" w:type="dxa"/>
            <w:tcBorders>
              <w:top w:val="single" w:sz="4" w:space="0" w:color="auto"/>
              <w:bottom w:val="double" w:sz="4" w:space="0" w:color="auto"/>
            </w:tcBorders>
          </w:tcPr>
          <w:p w:rsidR="00B83890" w:rsidRDefault="00B83890" w:rsidP="006E6DC8">
            <w:pPr>
              <w:jc w:val="right"/>
              <w:rPr>
                <w:b/>
                <w:color w:val="000000"/>
                <w:lang w:val="en-GB"/>
              </w:rPr>
            </w:pPr>
            <w:r>
              <w:rPr>
                <w:b/>
                <w:color w:val="000000"/>
                <w:lang w:val="en-GB"/>
              </w:rPr>
              <w:t>5,182</w:t>
            </w:r>
          </w:p>
        </w:tc>
        <w:tc>
          <w:tcPr>
            <w:tcW w:w="1417" w:type="dxa"/>
            <w:tcBorders>
              <w:top w:val="single" w:sz="4" w:space="0" w:color="auto"/>
              <w:bottom w:val="double" w:sz="4" w:space="0" w:color="auto"/>
            </w:tcBorders>
          </w:tcPr>
          <w:p w:rsidR="00B83890" w:rsidRDefault="00B83890" w:rsidP="006E6DC8">
            <w:pPr>
              <w:jc w:val="right"/>
              <w:rPr>
                <w:b/>
                <w:color w:val="000000"/>
                <w:lang w:val="en-GB"/>
              </w:rPr>
            </w:pPr>
            <w:r>
              <w:rPr>
                <w:b/>
                <w:color w:val="000000"/>
                <w:lang w:val="en-GB"/>
              </w:rPr>
              <w:t>6,111</w:t>
            </w:r>
          </w:p>
        </w:tc>
      </w:tr>
    </w:tbl>
    <w:p w:rsidR="00B83890" w:rsidRDefault="00B83890" w:rsidP="00B83890">
      <w:pPr>
        <w:pStyle w:val="Heading2"/>
        <w:rPr>
          <w:i/>
        </w:rPr>
      </w:pPr>
    </w:p>
    <w:p w:rsidR="00B83890" w:rsidRDefault="00B83890" w:rsidP="00B83890">
      <w:pPr>
        <w:rPr>
          <w:sz w:val="32"/>
          <w:szCs w:val="32"/>
        </w:rPr>
      </w:pPr>
      <w:r>
        <w:br w:type="page"/>
      </w:r>
    </w:p>
    <w:p w:rsidR="00B83890" w:rsidRDefault="00B83890" w:rsidP="00B83890">
      <w:pPr>
        <w:pStyle w:val="Heading2"/>
        <w:rPr>
          <w:i/>
        </w:rPr>
      </w:pPr>
    </w:p>
    <w:p w:rsidR="00B83890" w:rsidRPr="00513943" w:rsidRDefault="00B83890" w:rsidP="00513943">
      <w:pPr>
        <w:pStyle w:val="Heading3"/>
      </w:pPr>
      <w:r w:rsidRPr="00513943">
        <w:t>11.</w:t>
      </w:r>
      <w:r w:rsidRPr="00513943">
        <w:tab/>
        <w:t>INTEREST BEARING LIABILITIES</w:t>
      </w:r>
    </w:p>
    <w:tbl>
      <w:tblPr>
        <w:tblW w:w="9245" w:type="dxa"/>
        <w:tblLayout w:type="fixed"/>
        <w:tblCellMar>
          <w:left w:w="31" w:type="dxa"/>
          <w:right w:w="31" w:type="dxa"/>
        </w:tblCellMar>
        <w:tblLook w:val="0000" w:firstRow="0" w:lastRow="0" w:firstColumn="0" w:lastColumn="0" w:noHBand="0" w:noVBand="0"/>
        <w:tblCaption w:val="Interest Bearing Liabilities"/>
        <w:tblDescription w:val="This table shows Interest Bearing Liabilities for 2012–13 with comparison to 2011–12."/>
      </w:tblPr>
      <w:tblGrid>
        <w:gridCol w:w="31"/>
        <w:gridCol w:w="6237"/>
        <w:gridCol w:w="1560"/>
        <w:gridCol w:w="1417"/>
      </w:tblGrid>
      <w:tr w:rsidR="00B83890" w:rsidTr="006E6DC8">
        <w:trPr>
          <w:cantSplit/>
          <w:trHeight w:val="255"/>
        </w:trPr>
        <w:tc>
          <w:tcPr>
            <w:tcW w:w="7828" w:type="dxa"/>
            <w:gridSpan w:val="3"/>
          </w:tcPr>
          <w:p w:rsidR="00B83890" w:rsidRDefault="00B83890" w:rsidP="006E6DC8">
            <w:pPr>
              <w:jc w:val="right"/>
              <w:rPr>
                <w:b/>
                <w:i/>
                <w:sz w:val="18"/>
                <w:lang w:val="en-GB"/>
              </w:rPr>
            </w:pPr>
            <w:r>
              <w:rPr>
                <w:b/>
                <w:lang w:val="en-GB"/>
              </w:rPr>
              <w:t>2013</w:t>
            </w:r>
          </w:p>
        </w:tc>
        <w:tc>
          <w:tcPr>
            <w:tcW w:w="1417" w:type="dxa"/>
          </w:tcPr>
          <w:p w:rsidR="00B83890" w:rsidRDefault="00B83890" w:rsidP="006E6DC8">
            <w:pPr>
              <w:jc w:val="right"/>
              <w:rPr>
                <w:b/>
                <w:i/>
                <w:sz w:val="18"/>
                <w:lang w:val="en-GB"/>
              </w:rPr>
            </w:pPr>
            <w:r>
              <w:rPr>
                <w:b/>
                <w:lang w:val="en-GB"/>
              </w:rPr>
              <w:t>2012</w:t>
            </w:r>
          </w:p>
        </w:tc>
      </w:tr>
      <w:tr w:rsidR="00B83890" w:rsidTr="006E6DC8">
        <w:trPr>
          <w:cantSplit/>
          <w:trHeight w:val="255"/>
        </w:trPr>
        <w:tc>
          <w:tcPr>
            <w:tcW w:w="7828" w:type="dxa"/>
            <w:gridSpan w:val="3"/>
            <w:vAlign w:val="center"/>
          </w:tcPr>
          <w:p w:rsidR="00B83890" w:rsidRDefault="00B83890" w:rsidP="006E6DC8">
            <w:pPr>
              <w:jc w:val="right"/>
              <w:rPr>
                <w:b/>
                <w:lang w:val="en-GB"/>
              </w:rPr>
            </w:pPr>
            <w:r>
              <w:rPr>
                <w:b/>
                <w:lang w:val="en-GB"/>
              </w:rPr>
              <w:t>$’000</w:t>
            </w:r>
          </w:p>
        </w:tc>
        <w:tc>
          <w:tcPr>
            <w:tcW w:w="1417" w:type="dxa"/>
            <w:vAlign w:val="center"/>
          </w:tcPr>
          <w:p w:rsidR="00B83890" w:rsidRDefault="00B83890" w:rsidP="006E6DC8">
            <w:pPr>
              <w:jc w:val="right"/>
              <w:rPr>
                <w:b/>
                <w:lang w:val="en-GB"/>
              </w:rPr>
            </w:pPr>
            <w:r>
              <w:rPr>
                <w:b/>
                <w:lang w:val="en-GB"/>
              </w:rPr>
              <w:t>$’000</w:t>
            </w:r>
          </w:p>
        </w:tc>
      </w:tr>
      <w:tr w:rsidR="00B83890" w:rsidTr="006E6DC8">
        <w:trPr>
          <w:gridBefore w:val="1"/>
          <w:wBefore w:w="31" w:type="dxa"/>
          <w:cantSplit/>
          <w:trHeight w:val="255"/>
        </w:trPr>
        <w:tc>
          <w:tcPr>
            <w:tcW w:w="6237" w:type="dxa"/>
            <w:vAlign w:val="center"/>
          </w:tcPr>
          <w:p w:rsidR="00B83890" w:rsidRDefault="00B83890" w:rsidP="004B1BAA">
            <w:pPr>
              <w:pStyle w:val="Heading4"/>
              <w:rPr>
                <w:lang w:val="en-GB"/>
              </w:rPr>
            </w:pPr>
            <w:r>
              <w:rPr>
                <w:lang w:val="en-GB"/>
              </w:rPr>
              <w:t xml:space="preserve">11(a)  Current </w:t>
            </w:r>
          </w:p>
        </w:tc>
        <w:tc>
          <w:tcPr>
            <w:tcW w:w="1560" w:type="dxa"/>
            <w:vAlign w:val="center"/>
          </w:tcPr>
          <w:p w:rsidR="00B83890" w:rsidRDefault="00B83890" w:rsidP="004B1BAA">
            <w:pPr>
              <w:pStyle w:val="Heading4"/>
              <w:rPr>
                <w:lang w:val="en-GB"/>
              </w:rPr>
            </w:pPr>
          </w:p>
        </w:tc>
        <w:tc>
          <w:tcPr>
            <w:tcW w:w="1417" w:type="dxa"/>
            <w:vAlign w:val="center"/>
          </w:tcPr>
          <w:p w:rsidR="00B83890" w:rsidRDefault="00B83890" w:rsidP="004B1BAA">
            <w:pPr>
              <w:pStyle w:val="Heading4"/>
              <w:rPr>
                <w:lang w:val="en-GB"/>
              </w:rPr>
            </w:pPr>
          </w:p>
        </w:tc>
      </w:tr>
      <w:tr w:rsidR="00B83890" w:rsidTr="006E6DC8">
        <w:trPr>
          <w:gridBefore w:val="1"/>
          <w:wBefore w:w="31" w:type="dxa"/>
          <w:cantSplit/>
          <w:trHeight w:val="255"/>
        </w:trPr>
        <w:tc>
          <w:tcPr>
            <w:tcW w:w="6237" w:type="dxa"/>
            <w:vAlign w:val="center"/>
          </w:tcPr>
          <w:p w:rsidR="00B83890" w:rsidRPr="00025776" w:rsidRDefault="00B83890" w:rsidP="006E6DC8">
            <w:pPr>
              <w:tabs>
                <w:tab w:val="left" w:pos="704"/>
              </w:tabs>
              <w:rPr>
                <w:b/>
                <w:lang w:val="en-GB"/>
              </w:rPr>
            </w:pPr>
            <w:r>
              <w:rPr>
                <w:b/>
                <w:lang w:val="en-GB"/>
              </w:rPr>
              <w:tab/>
            </w:r>
            <w:r w:rsidRPr="00025776">
              <w:rPr>
                <w:b/>
                <w:lang w:val="en-GB"/>
              </w:rPr>
              <w:t>Secured</w:t>
            </w:r>
          </w:p>
        </w:tc>
        <w:tc>
          <w:tcPr>
            <w:tcW w:w="1560" w:type="dxa"/>
            <w:vAlign w:val="center"/>
          </w:tcPr>
          <w:p w:rsidR="00B83890" w:rsidRDefault="00B83890" w:rsidP="006E6DC8">
            <w:pPr>
              <w:jc w:val="right"/>
              <w:rPr>
                <w:b/>
                <w:lang w:val="en-GB"/>
              </w:rPr>
            </w:pPr>
          </w:p>
        </w:tc>
        <w:tc>
          <w:tcPr>
            <w:tcW w:w="1417" w:type="dxa"/>
            <w:vAlign w:val="center"/>
          </w:tcPr>
          <w:p w:rsidR="00B83890" w:rsidRDefault="00B83890" w:rsidP="006E6DC8">
            <w:pPr>
              <w:jc w:val="right"/>
              <w:rPr>
                <w:b/>
                <w:lang w:val="en-GB"/>
              </w:rPr>
            </w:pPr>
          </w:p>
        </w:tc>
      </w:tr>
      <w:tr w:rsidR="00B83890" w:rsidTr="006E6DC8">
        <w:trPr>
          <w:gridBefore w:val="1"/>
          <w:wBefore w:w="31" w:type="dxa"/>
          <w:cantSplit/>
          <w:trHeight w:val="255"/>
        </w:trPr>
        <w:tc>
          <w:tcPr>
            <w:tcW w:w="6237" w:type="dxa"/>
            <w:vAlign w:val="center"/>
          </w:tcPr>
          <w:p w:rsidR="00B83890" w:rsidRPr="00025776" w:rsidRDefault="00B83890" w:rsidP="006E6DC8">
            <w:pPr>
              <w:rPr>
                <w:color w:val="000000"/>
                <w:lang w:val="en-GB"/>
              </w:rPr>
            </w:pPr>
            <w:r>
              <w:rPr>
                <w:color w:val="000000"/>
                <w:lang w:val="en-GB"/>
              </w:rPr>
              <w:tab/>
              <w:t>Lease liabilities (</w:t>
            </w:r>
            <w:r w:rsidRPr="004A08FE">
              <w:rPr>
                <w:color w:val="000000"/>
                <w:lang w:val="en-GB"/>
              </w:rPr>
              <w:t>Note 18</w:t>
            </w:r>
            <w:r w:rsidRPr="00025776">
              <w:rPr>
                <w:color w:val="000000"/>
                <w:lang w:val="en-GB"/>
              </w:rPr>
              <w:t>)</w:t>
            </w:r>
          </w:p>
        </w:tc>
        <w:tc>
          <w:tcPr>
            <w:tcW w:w="1560" w:type="dxa"/>
            <w:vAlign w:val="center"/>
          </w:tcPr>
          <w:p w:rsidR="00B83890" w:rsidRDefault="00B83890" w:rsidP="006E6DC8">
            <w:pPr>
              <w:jc w:val="right"/>
              <w:rPr>
                <w:lang w:val="en-GB"/>
              </w:rPr>
            </w:pPr>
            <w:r>
              <w:rPr>
                <w:lang w:val="en-GB"/>
              </w:rPr>
              <w:t>133</w:t>
            </w:r>
          </w:p>
        </w:tc>
        <w:tc>
          <w:tcPr>
            <w:tcW w:w="1417" w:type="dxa"/>
            <w:vAlign w:val="center"/>
          </w:tcPr>
          <w:p w:rsidR="00B83890" w:rsidRDefault="00B83890" w:rsidP="006E6DC8">
            <w:pPr>
              <w:jc w:val="right"/>
              <w:rPr>
                <w:lang w:val="en-GB"/>
              </w:rPr>
            </w:pPr>
            <w:r>
              <w:rPr>
                <w:lang w:val="en-GB"/>
              </w:rPr>
              <w:t>199</w:t>
            </w:r>
          </w:p>
        </w:tc>
      </w:tr>
      <w:tr w:rsidR="00B83890" w:rsidTr="006E6DC8">
        <w:trPr>
          <w:gridBefore w:val="1"/>
          <w:wBefore w:w="31" w:type="dxa"/>
          <w:cantSplit/>
          <w:trHeight w:val="197"/>
        </w:trPr>
        <w:tc>
          <w:tcPr>
            <w:tcW w:w="6237" w:type="dxa"/>
            <w:tcBorders>
              <w:top w:val="single" w:sz="4" w:space="0" w:color="auto"/>
              <w:bottom w:val="single" w:sz="4" w:space="0" w:color="auto"/>
            </w:tcBorders>
          </w:tcPr>
          <w:p w:rsidR="00B83890" w:rsidRPr="00025776" w:rsidRDefault="00B83890" w:rsidP="006E6DC8">
            <w:pPr>
              <w:rPr>
                <w:b/>
                <w:color w:val="000000"/>
                <w:lang w:val="en-GB"/>
              </w:rPr>
            </w:pPr>
            <w:r>
              <w:rPr>
                <w:b/>
                <w:color w:val="000000"/>
                <w:lang w:val="en-GB"/>
              </w:rPr>
              <w:t>TOTAL</w:t>
            </w:r>
          </w:p>
        </w:tc>
        <w:tc>
          <w:tcPr>
            <w:tcW w:w="1560" w:type="dxa"/>
            <w:tcBorders>
              <w:top w:val="single" w:sz="4" w:space="0" w:color="auto"/>
              <w:bottom w:val="single" w:sz="4" w:space="0" w:color="auto"/>
            </w:tcBorders>
          </w:tcPr>
          <w:p w:rsidR="00B83890" w:rsidRDefault="00B83890" w:rsidP="006E6DC8">
            <w:pPr>
              <w:jc w:val="right"/>
              <w:rPr>
                <w:b/>
                <w:color w:val="000000"/>
                <w:lang w:val="en-GB"/>
              </w:rPr>
            </w:pPr>
            <w:r>
              <w:rPr>
                <w:b/>
                <w:color w:val="000000"/>
                <w:lang w:val="en-GB"/>
              </w:rPr>
              <w:t>133</w:t>
            </w:r>
          </w:p>
        </w:tc>
        <w:tc>
          <w:tcPr>
            <w:tcW w:w="1417" w:type="dxa"/>
            <w:tcBorders>
              <w:top w:val="single" w:sz="4" w:space="0" w:color="auto"/>
              <w:bottom w:val="single" w:sz="4" w:space="0" w:color="auto"/>
            </w:tcBorders>
          </w:tcPr>
          <w:p w:rsidR="00B83890" w:rsidRDefault="00B83890" w:rsidP="006E6DC8">
            <w:pPr>
              <w:jc w:val="right"/>
              <w:rPr>
                <w:b/>
                <w:color w:val="000000"/>
                <w:lang w:val="en-GB"/>
              </w:rPr>
            </w:pPr>
            <w:r>
              <w:rPr>
                <w:b/>
                <w:color w:val="000000"/>
                <w:lang w:val="en-GB"/>
              </w:rPr>
              <w:t>199</w:t>
            </w:r>
          </w:p>
        </w:tc>
      </w:tr>
      <w:tr w:rsidR="00B83890" w:rsidTr="006E6DC8">
        <w:trPr>
          <w:gridBefore w:val="1"/>
          <w:wBefore w:w="31" w:type="dxa"/>
          <w:cantSplit/>
          <w:trHeight w:val="255"/>
        </w:trPr>
        <w:tc>
          <w:tcPr>
            <w:tcW w:w="6237" w:type="dxa"/>
            <w:tcBorders>
              <w:top w:val="single" w:sz="4" w:space="0" w:color="auto"/>
            </w:tcBorders>
            <w:vAlign w:val="center"/>
          </w:tcPr>
          <w:p w:rsidR="00B83890" w:rsidRPr="00025776" w:rsidRDefault="00B83890" w:rsidP="006E6DC8">
            <w:pPr>
              <w:rPr>
                <w:b/>
                <w:color w:val="000000"/>
                <w:lang w:val="en-GB"/>
              </w:rPr>
            </w:pPr>
          </w:p>
        </w:tc>
        <w:tc>
          <w:tcPr>
            <w:tcW w:w="1560" w:type="dxa"/>
            <w:tcBorders>
              <w:top w:val="single" w:sz="4" w:space="0" w:color="auto"/>
            </w:tcBorders>
            <w:vAlign w:val="center"/>
          </w:tcPr>
          <w:p w:rsidR="00B83890" w:rsidRDefault="00B83890" w:rsidP="006E6DC8">
            <w:pPr>
              <w:jc w:val="right"/>
              <w:rPr>
                <w:color w:val="000000"/>
                <w:lang w:val="en-GB"/>
              </w:rPr>
            </w:pPr>
          </w:p>
        </w:tc>
        <w:tc>
          <w:tcPr>
            <w:tcW w:w="1417" w:type="dxa"/>
            <w:tcBorders>
              <w:top w:val="single" w:sz="4" w:space="0" w:color="auto"/>
            </w:tcBorders>
            <w:vAlign w:val="center"/>
          </w:tcPr>
          <w:p w:rsidR="00B83890" w:rsidRDefault="00B83890" w:rsidP="006E6DC8">
            <w:pPr>
              <w:jc w:val="right"/>
              <w:rPr>
                <w:color w:val="000000"/>
                <w:lang w:val="en-GB"/>
              </w:rPr>
            </w:pPr>
          </w:p>
        </w:tc>
      </w:tr>
      <w:tr w:rsidR="00B83890" w:rsidTr="006E6DC8">
        <w:trPr>
          <w:gridBefore w:val="1"/>
          <w:wBefore w:w="31" w:type="dxa"/>
          <w:cantSplit/>
          <w:trHeight w:val="255"/>
        </w:trPr>
        <w:tc>
          <w:tcPr>
            <w:tcW w:w="6237" w:type="dxa"/>
            <w:vAlign w:val="center"/>
          </w:tcPr>
          <w:p w:rsidR="00B83890" w:rsidRPr="00025776" w:rsidRDefault="00B83890" w:rsidP="004B1BAA">
            <w:pPr>
              <w:pStyle w:val="Heading4"/>
              <w:rPr>
                <w:i/>
                <w:lang w:val="en-GB"/>
              </w:rPr>
            </w:pPr>
            <w:r>
              <w:rPr>
                <w:lang w:val="en-GB"/>
              </w:rPr>
              <w:t xml:space="preserve">11(b)   </w:t>
            </w:r>
            <w:r w:rsidRPr="00025776">
              <w:rPr>
                <w:lang w:val="en-GB"/>
              </w:rPr>
              <w:t xml:space="preserve">Non-current </w:t>
            </w:r>
          </w:p>
        </w:tc>
        <w:tc>
          <w:tcPr>
            <w:tcW w:w="1560" w:type="dxa"/>
            <w:vAlign w:val="center"/>
          </w:tcPr>
          <w:p w:rsidR="00B83890" w:rsidRDefault="00B83890" w:rsidP="004B1BAA">
            <w:pPr>
              <w:pStyle w:val="Heading4"/>
              <w:rPr>
                <w:lang w:val="en-GB"/>
              </w:rPr>
            </w:pPr>
          </w:p>
        </w:tc>
        <w:tc>
          <w:tcPr>
            <w:tcW w:w="1417" w:type="dxa"/>
            <w:vAlign w:val="center"/>
          </w:tcPr>
          <w:p w:rsidR="00B83890" w:rsidRDefault="00B83890" w:rsidP="004B1BAA">
            <w:pPr>
              <w:pStyle w:val="Heading4"/>
              <w:rPr>
                <w:lang w:val="en-GB"/>
              </w:rPr>
            </w:pPr>
          </w:p>
        </w:tc>
      </w:tr>
      <w:tr w:rsidR="00B83890" w:rsidTr="006E6DC8">
        <w:trPr>
          <w:gridBefore w:val="1"/>
          <w:wBefore w:w="31" w:type="dxa"/>
          <w:cantSplit/>
          <w:trHeight w:val="255"/>
        </w:trPr>
        <w:tc>
          <w:tcPr>
            <w:tcW w:w="6237" w:type="dxa"/>
            <w:vAlign w:val="center"/>
          </w:tcPr>
          <w:p w:rsidR="00B83890" w:rsidRPr="00025776" w:rsidRDefault="00B83890" w:rsidP="006E6DC8">
            <w:pPr>
              <w:tabs>
                <w:tab w:val="left" w:pos="719"/>
              </w:tabs>
              <w:rPr>
                <w:b/>
                <w:color w:val="000000"/>
                <w:lang w:val="en-GB"/>
              </w:rPr>
            </w:pPr>
            <w:r>
              <w:rPr>
                <w:b/>
                <w:color w:val="000000"/>
                <w:lang w:val="en-GB"/>
              </w:rPr>
              <w:tab/>
            </w:r>
            <w:r w:rsidRPr="00025776">
              <w:rPr>
                <w:b/>
                <w:color w:val="000000"/>
                <w:lang w:val="en-GB"/>
              </w:rPr>
              <w:t>Secured</w:t>
            </w:r>
          </w:p>
        </w:tc>
        <w:tc>
          <w:tcPr>
            <w:tcW w:w="1560" w:type="dxa"/>
            <w:vAlign w:val="center"/>
          </w:tcPr>
          <w:p w:rsidR="00B83890" w:rsidRDefault="00B83890" w:rsidP="006E6DC8">
            <w:pPr>
              <w:jc w:val="right"/>
              <w:rPr>
                <w:color w:val="000000"/>
                <w:lang w:val="en-GB"/>
              </w:rPr>
            </w:pPr>
          </w:p>
        </w:tc>
        <w:tc>
          <w:tcPr>
            <w:tcW w:w="1417" w:type="dxa"/>
            <w:vAlign w:val="center"/>
          </w:tcPr>
          <w:p w:rsidR="00B83890" w:rsidRDefault="00B83890" w:rsidP="006E6DC8">
            <w:pPr>
              <w:jc w:val="right"/>
              <w:rPr>
                <w:color w:val="000000"/>
                <w:lang w:val="en-GB"/>
              </w:rPr>
            </w:pPr>
          </w:p>
        </w:tc>
      </w:tr>
      <w:tr w:rsidR="00B83890" w:rsidTr="006E6DC8">
        <w:trPr>
          <w:gridBefore w:val="1"/>
          <w:wBefore w:w="31" w:type="dxa"/>
          <w:cantSplit/>
          <w:trHeight w:val="255"/>
        </w:trPr>
        <w:tc>
          <w:tcPr>
            <w:tcW w:w="6237" w:type="dxa"/>
            <w:vAlign w:val="center"/>
          </w:tcPr>
          <w:p w:rsidR="00B83890" w:rsidRDefault="00B83890" w:rsidP="006E6DC8">
            <w:pPr>
              <w:rPr>
                <w:color w:val="000000"/>
                <w:lang w:val="en-GB"/>
              </w:rPr>
            </w:pPr>
            <w:r>
              <w:rPr>
                <w:color w:val="000000"/>
                <w:lang w:val="en-GB"/>
              </w:rPr>
              <w:tab/>
              <w:t xml:space="preserve">Lease liabilities (Note </w:t>
            </w:r>
            <w:r w:rsidRPr="004A08FE">
              <w:rPr>
                <w:color w:val="000000"/>
                <w:lang w:val="en-GB"/>
              </w:rPr>
              <w:t>18)</w:t>
            </w:r>
          </w:p>
        </w:tc>
        <w:tc>
          <w:tcPr>
            <w:tcW w:w="1560" w:type="dxa"/>
            <w:vAlign w:val="center"/>
          </w:tcPr>
          <w:p w:rsidR="00B83890" w:rsidRDefault="00B83890" w:rsidP="006E6DC8">
            <w:pPr>
              <w:jc w:val="right"/>
              <w:rPr>
                <w:color w:val="000000"/>
                <w:lang w:val="en-GB"/>
              </w:rPr>
            </w:pPr>
            <w:r>
              <w:rPr>
                <w:color w:val="000000"/>
                <w:lang w:val="en-GB"/>
              </w:rPr>
              <w:t>156</w:t>
            </w:r>
          </w:p>
        </w:tc>
        <w:tc>
          <w:tcPr>
            <w:tcW w:w="1417" w:type="dxa"/>
            <w:vAlign w:val="center"/>
          </w:tcPr>
          <w:p w:rsidR="00B83890" w:rsidRDefault="00B83890" w:rsidP="006E6DC8">
            <w:pPr>
              <w:jc w:val="right"/>
              <w:rPr>
                <w:color w:val="000000"/>
                <w:lang w:val="en-GB"/>
              </w:rPr>
            </w:pPr>
            <w:r>
              <w:rPr>
                <w:color w:val="000000"/>
                <w:lang w:val="en-GB"/>
              </w:rPr>
              <w:t>133</w:t>
            </w:r>
          </w:p>
        </w:tc>
      </w:tr>
      <w:tr w:rsidR="00B83890" w:rsidTr="006E6DC8">
        <w:trPr>
          <w:gridBefore w:val="1"/>
          <w:wBefore w:w="31" w:type="dxa"/>
          <w:cantSplit/>
          <w:trHeight w:val="197"/>
        </w:trPr>
        <w:tc>
          <w:tcPr>
            <w:tcW w:w="6237" w:type="dxa"/>
            <w:tcBorders>
              <w:top w:val="single" w:sz="4" w:space="0" w:color="auto"/>
              <w:bottom w:val="single" w:sz="4" w:space="0" w:color="auto"/>
            </w:tcBorders>
          </w:tcPr>
          <w:p w:rsidR="00B83890" w:rsidRPr="007A31D7" w:rsidRDefault="00B83890" w:rsidP="006E6DC8">
            <w:pPr>
              <w:rPr>
                <w:b/>
                <w:color w:val="000000"/>
                <w:lang w:val="en-GB"/>
              </w:rPr>
            </w:pPr>
            <w:r w:rsidRPr="007A31D7">
              <w:rPr>
                <w:b/>
                <w:color w:val="000000"/>
                <w:lang w:val="en-GB"/>
              </w:rPr>
              <w:t>TOTAL</w:t>
            </w:r>
          </w:p>
        </w:tc>
        <w:tc>
          <w:tcPr>
            <w:tcW w:w="1560" w:type="dxa"/>
            <w:tcBorders>
              <w:top w:val="single" w:sz="4" w:space="0" w:color="auto"/>
              <w:bottom w:val="single" w:sz="4" w:space="0" w:color="auto"/>
            </w:tcBorders>
          </w:tcPr>
          <w:p w:rsidR="00B83890" w:rsidRDefault="00B83890" w:rsidP="006E6DC8">
            <w:pPr>
              <w:jc w:val="right"/>
              <w:rPr>
                <w:b/>
                <w:color w:val="000000"/>
                <w:lang w:val="en-GB"/>
              </w:rPr>
            </w:pPr>
            <w:r>
              <w:rPr>
                <w:b/>
                <w:color w:val="000000"/>
                <w:lang w:val="en-GB"/>
              </w:rPr>
              <w:t>156</w:t>
            </w:r>
          </w:p>
        </w:tc>
        <w:tc>
          <w:tcPr>
            <w:tcW w:w="1417" w:type="dxa"/>
            <w:tcBorders>
              <w:top w:val="single" w:sz="4" w:space="0" w:color="auto"/>
              <w:bottom w:val="single" w:sz="4" w:space="0" w:color="auto"/>
            </w:tcBorders>
          </w:tcPr>
          <w:p w:rsidR="00B83890" w:rsidRDefault="00B83890" w:rsidP="006E6DC8">
            <w:pPr>
              <w:jc w:val="right"/>
              <w:rPr>
                <w:b/>
                <w:color w:val="000000"/>
                <w:lang w:val="en-GB"/>
              </w:rPr>
            </w:pPr>
            <w:r>
              <w:rPr>
                <w:b/>
                <w:color w:val="000000"/>
                <w:lang w:val="en-GB"/>
              </w:rPr>
              <w:t>133</w:t>
            </w:r>
          </w:p>
        </w:tc>
      </w:tr>
      <w:tr w:rsidR="00B83890" w:rsidTr="006E6DC8">
        <w:trPr>
          <w:gridBefore w:val="1"/>
          <w:wBefore w:w="31" w:type="dxa"/>
          <w:cantSplit/>
          <w:trHeight w:val="368"/>
        </w:trPr>
        <w:tc>
          <w:tcPr>
            <w:tcW w:w="6237" w:type="dxa"/>
            <w:tcBorders>
              <w:top w:val="single" w:sz="4" w:space="0" w:color="auto"/>
              <w:bottom w:val="double" w:sz="6" w:space="0" w:color="000000"/>
            </w:tcBorders>
            <w:vAlign w:val="bottom"/>
          </w:tcPr>
          <w:p w:rsidR="00B83890" w:rsidRPr="00432733" w:rsidRDefault="00B83890" w:rsidP="006E6DC8">
            <w:pPr>
              <w:pStyle w:val="total"/>
              <w:rPr>
                <w:caps w:val="0"/>
                <w:sz w:val="20"/>
              </w:rPr>
            </w:pPr>
            <w:r w:rsidRPr="00881CAB">
              <w:rPr>
                <w:sz w:val="20"/>
              </w:rPr>
              <w:t xml:space="preserve">Total </w:t>
            </w:r>
            <w:r>
              <w:rPr>
                <w:caps w:val="0"/>
                <w:sz w:val="20"/>
              </w:rPr>
              <w:t>INTEREST BEARING LIABILITIES</w:t>
            </w:r>
          </w:p>
        </w:tc>
        <w:tc>
          <w:tcPr>
            <w:tcW w:w="1560" w:type="dxa"/>
            <w:tcBorders>
              <w:top w:val="single" w:sz="4" w:space="0" w:color="auto"/>
              <w:bottom w:val="double" w:sz="6" w:space="0" w:color="000000"/>
            </w:tcBorders>
          </w:tcPr>
          <w:p w:rsidR="00B83890" w:rsidRDefault="00B83890" w:rsidP="006E6DC8">
            <w:pPr>
              <w:jc w:val="right"/>
              <w:rPr>
                <w:b/>
                <w:color w:val="000000"/>
                <w:lang w:val="en-GB"/>
              </w:rPr>
            </w:pPr>
          </w:p>
          <w:p w:rsidR="00B83890" w:rsidRDefault="00B83890" w:rsidP="006E6DC8">
            <w:pPr>
              <w:jc w:val="right"/>
              <w:rPr>
                <w:b/>
                <w:color w:val="000000"/>
                <w:lang w:val="en-GB"/>
              </w:rPr>
            </w:pPr>
            <w:r>
              <w:rPr>
                <w:b/>
                <w:color w:val="000000"/>
                <w:lang w:val="en-GB"/>
              </w:rPr>
              <w:t>289</w:t>
            </w:r>
          </w:p>
        </w:tc>
        <w:tc>
          <w:tcPr>
            <w:tcW w:w="1417" w:type="dxa"/>
            <w:tcBorders>
              <w:top w:val="single" w:sz="4" w:space="0" w:color="auto"/>
              <w:bottom w:val="double" w:sz="6" w:space="0" w:color="000000"/>
            </w:tcBorders>
          </w:tcPr>
          <w:p w:rsidR="00B83890" w:rsidRDefault="00B83890" w:rsidP="006E6DC8">
            <w:pPr>
              <w:jc w:val="right"/>
              <w:rPr>
                <w:b/>
                <w:color w:val="000000"/>
                <w:lang w:val="en-GB"/>
              </w:rPr>
            </w:pPr>
          </w:p>
          <w:p w:rsidR="00B83890" w:rsidRDefault="00B83890" w:rsidP="006E6DC8">
            <w:pPr>
              <w:jc w:val="right"/>
              <w:rPr>
                <w:b/>
                <w:color w:val="000000"/>
                <w:lang w:val="en-GB"/>
              </w:rPr>
            </w:pPr>
            <w:r>
              <w:rPr>
                <w:b/>
                <w:color w:val="000000"/>
                <w:lang w:val="en-GB"/>
              </w:rPr>
              <w:t>332</w:t>
            </w:r>
          </w:p>
        </w:tc>
      </w:tr>
      <w:tr w:rsidR="00B83890" w:rsidTr="006E6DC8">
        <w:trPr>
          <w:gridBefore w:val="1"/>
          <w:wBefore w:w="31" w:type="dxa"/>
          <w:cantSplit/>
          <w:trHeight w:val="206"/>
        </w:trPr>
        <w:tc>
          <w:tcPr>
            <w:tcW w:w="9214" w:type="dxa"/>
            <w:gridSpan w:val="3"/>
          </w:tcPr>
          <w:p w:rsidR="00B83890" w:rsidRDefault="00B83890" w:rsidP="006E6DC8">
            <w:pPr>
              <w:rPr>
                <w:color w:val="000000"/>
                <w:lang w:val="en-GB"/>
              </w:rPr>
            </w:pPr>
            <w:r>
              <w:rPr>
                <w:color w:val="000000"/>
                <w:lang w:val="en-GB"/>
              </w:rPr>
              <w:tab/>
            </w:r>
          </w:p>
          <w:p w:rsidR="00B83890" w:rsidRDefault="00B83890" w:rsidP="006E6DC8">
            <w:pPr>
              <w:rPr>
                <w:color w:val="000000"/>
                <w:lang w:val="en-GB"/>
              </w:rPr>
            </w:pPr>
            <w:r w:rsidRPr="00C650EA">
              <w:rPr>
                <w:color w:val="000000"/>
                <w:lang w:val="en-GB"/>
              </w:rPr>
              <w:t xml:space="preserve">Lease liabilities are effectively secured as the </w:t>
            </w:r>
            <w:r>
              <w:rPr>
                <w:color w:val="000000"/>
                <w:lang w:val="en-GB"/>
              </w:rPr>
              <w:t>r</w:t>
            </w:r>
            <w:r w:rsidRPr="00C650EA">
              <w:rPr>
                <w:color w:val="000000"/>
                <w:lang w:val="en-GB"/>
              </w:rPr>
              <w:t>ights to the leased assets revert to the lessor</w:t>
            </w:r>
            <w:r>
              <w:rPr>
                <w:color w:val="000000"/>
                <w:lang w:val="en-GB"/>
              </w:rPr>
              <w:t xml:space="preserve"> i</w:t>
            </w:r>
            <w:r w:rsidRPr="00C650EA">
              <w:rPr>
                <w:color w:val="000000"/>
                <w:lang w:val="en-GB"/>
              </w:rPr>
              <w:t>n the event of default</w:t>
            </w:r>
          </w:p>
        </w:tc>
      </w:tr>
      <w:tr w:rsidR="00B83890" w:rsidTr="006E6DC8">
        <w:trPr>
          <w:gridBefore w:val="1"/>
          <w:wBefore w:w="31" w:type="dxa"/>
          <w:cantSplit/>
          <w:trHeight w:val="255"/>
        </w:trPr>
        <w:tc>
          <w:tcPr>
            <w:tcW w:w="6237" w:type="dxa"/>
            <w:vAlign w:val="center"/>
          </w:tcPr>
          <w:p w:rsidR="00B83890" w:rsidRDefault="00B83890" w:rsidP="006E6DC8">
            <w:pPr>
              <w:rPr>
                <w:color w:val="000000"/>
                <w:lang w:val="en-GB"/>
              </w:rPr>
            </w:pPr>
          </w:p>
        </w:tc>
        <w:tc>
          <w:tcPr>
            <w:tcW w:w="1560" w:type="dxa"/>
            <w:vAlign w:val="center"/>
          </w:tcPr>
          <w:p w:rsidR="00B83890" w:rsidRDefault="00B83890" w:rsidP="006E6DC8">
            <w:pPr>
              <w:jc w:val="right"/>
              <w:rPr>
                <w:color w:val="000000"/>
                <w:lang w:val="en-GB"/>
              </w:rPr>
            </w:pPr>
          </w:p>
        </w:tc>
        <w:tc>
          <w:tcPr>
            <w:tcW w:w="1417" w:type="dxa"/>
            <w:vAlign w:val="center"/>
          </w:tcPr>
          <w:p w:rsidR="00B83890" w:rsidRDefault="00B83890" w:rsidP="006E6DC8">
            <w:pPr>
              <w:jc w:val="right"/>
              <w:rPr>
                <w:color w:val="000000"/>
                <w:lang w:val="en-GB"/>
              </w:rPr>
            </w:pPr>
          </w:p>
        </w:tc>
      </w:tr>
      <w:tr w:rsidR="00B83890" w:rsidTr="006E6DC8">
        <w:trPr>
          <w:gridBefore w:val="1"/>
          <w:wBefore w:w="31" w:type="dxa"/>
          <w:cantSplit/>
          <w:trHeight w:val="255"/>
        </w:trPr>
        <w:tc>
          <w:tcPr>
            <w:tcW w:w="6237" w:type="dxa"/>
            <w:vAlign w:val="center"/>
          </w:tcPr>
          <w:p w:rsidR="00B83890" w:rsidRDefault="00B83890" w:rsidP="004B1BAA">
            <w:pPr>
              <w:pStyle w:val="Heading4"/>
              <w:rPr>
                <w:lang w:val="en-GB"/>
              </w:rPr>
            </w:pPr>
            <w:r>
              <w:rPr>
                <w:lang w:val="en-GB"/>
              </w:rPr>
              <w:t>11(c)   Assets pledged as security</w:t>
            </w:r>
          </w:p>
        </w:tc>
        <w:tc>
          <w:tcPr>
            <w:tcW w:w="1560" w:type="dxa"/>
            <w:vAlign w:val="center"/>
          </w:tcPr>
          <w:p w:rsidR="00B83890" w:rsidRDefault="00B83890" w:rsidP="004B1BAA">
            <w:pPr>
              <w:pStyle w:val="Heading4"/>
              <w:rPr>
                <w:lang w:val="en-GB"/>
              </w:rPr>
            </w:pPr>
          </w:p>
        </w:tc>
        <w:tc>
          <w:tcPr>
            <w:tcW w:w="1417" w:type="dxa"/>
            <w:vAlign w:val="center"/>
          </w:tcPr>
          <w:p w:rsidR="00B83890" w:rsidRDefault="00B83890" w:rsidP="004B1BAA">
            <w:pPr>
              <w:pStyle w:val="Heading4"/>
              <w:rPr>
                <w:lang w:val="en-GB"/>
              </w:rPr>
            </w:pPr>
          </w:p>
        </w:tc>
      </w:tr>
      <w:tr w:rsidR="00B83890" w:rsidTr="006E6DC8">
        <w:trPr>
          <w:gridBefore w:val="1"/>
          <w:wBefore w:w="31" w:type="dxa"/>
          <w:cantSplit/>
          <w:trHeight w:val="255"/>
        </w:trPr>
        <w:tc>
          <w:tcPr>
            <w:tcW w:w="6237" w:type="dxa"/>
            <w:vAlign w:val="center"/>
          </w:tcPr>
          <w:p w:rsidR="00B83890" w:rsidRDefault="00B83890" w:rsidP="006E6DC8">
            <w:pPr>
              <w:rPr>
                <w:color w:val="000000"/>
                <w:lang w:val="en-GB"/>
              </w:rPr>
            </w:pPr>
            <w:r>
              <w:rPr>
                <w:color w:val="000000"/>
                <w:lang w:val="en-GB"/>
              </w:rPr>
              <w:tab/>
            </w:r>
            <w:r w:rsidRPr="00C650EA">
              <w:rPr>
                <w:color w:val="000000"/>
                <w:lang w:val="en-GB"/>
              </w:rPr>
              <w:t>The carrying amounts of non–current assets</w:t>
            </w:r>
          </w:p>
          <w:p w:rsidR="00B83890" w:rsidRPr="00C650EA" w:rsidRDefault="00B83890" w:rsidP="006E6DC8">
            <w:pPr>
              <w:rPr>
                <w:color w:val="000000"/>
                <w:lang w:val="en-GB"/>
              </w:rPr>
            </w:pPr>
            <w:r>
              <w:rPr>
                <w:color w:val="000000"/>
                <w:lang w:val="en-GB"/>
              </w:rPr>
              <w:tab/>
            </w:r>
            <w:r w:rsidRPr="00C650EA">
              <w:rPr>
                <w:color w:val="000000"/>
                <w:lang w:val="en-GB"/>
              </w:rPr>
              <w:t>pledged as security are:</w:t>
            </w:r>
          </w:p>
        </w:tc>
        <w:tc>
          <w:tcPr>
            <w:tcW w:w="1560" w:type="dxa"/>
            <w:vAlign w:val="center"/>
          </w:tcPr>
          <w:p w:rsidR="00B83890" w:rsidRDefault="00B83890" w:rsidP="006E6DC8">
            <w:pPr>
              <w:jc w:val="right"/>
              <w:rPr>
                <w:color w:val="000000"/>
                <w:lang w:val="en-GB"/>
              </w:rPr>
            </w:pPr>
          </w:p>
        </w:tc>
        <w:tc>
          <w:tcPr>
            <w:tcW w:w="1417" w:type="dxa"/>
            <w:vAlign w:val="center"/>
          </w:tcPr>
          <w:p w:rsidR="00B83890" w:rsidRDefault="00B83890" w:rsidP="006E6DC8">
            <w:pPr>
              <w:jc w:val="right"/>
              <w:rPr>
                <w:color w:val="000000"/>
                <w:lang w:val="en-GB"/>
              </w:rPr>
            </w:pPr>
          </w:p>
        </w:tc>
      </w:tr>
      <w:tr w:rsidR="00B83890" w:rsidTr="006E6DC8">
        <w:trPr>
          <w:gridBefore w:val="1"/>
          <w:wBefore w:w="31" w:type="dxa"/>
          <w:cantSplit/>
          <w:trHeight w:val="255"/>
        </w:trPr>
        <w:tc>
          <w:tcPr>
            <w:tcW w:w="6237" w:type="dxa"/>
            <w:vAlign w:val="center"/>
          </w:tcPr>
          <w:p w:rsidR="00B83890" w:rsidRDefault="00B83890" w:rsidP="006E6DC8">
            <w:pPr>
              <w:rPr>
                <w:b/>
                <w:color w:val="000000"/>
                <w:lang w:val="en-GB"/>
              </w:rPr>
            </w:pPr>
            <w:r>
              <w:rPr>
                <w:b/>
                <w:color w:val="000000"/>
                <w:lang w:val="en-GB"/>
              </w:rPr>
              <w:tab/>
              <w:t>Finance lease</w:t>
            </w:r>
          </w:p>
        </w:tc>
        <w:tc>
          <w:tcPr>
            <w:tcW w:w="1560" w:type="dxa"/>
            <w:vAlign w:val="center"/>
          </w:tcPr>
          <w:p w:rsidR="00B83890" w:rsidRDefault="00B83890" w:rsidP="006E6DC8">
            <w:pPr>
              <w:jc w:val="right"/>
              <w:rPr>
                <w:color w:val="000000"/>
                <w:lang w:val="en-GB"/>
              </w:rPr>
            </w:pPr>
          </w:p>
        </w:tc>
        <w:tc>
          <w:tcPr>
            <w:tcW w:w="1417" w:type="dxa"/>
            <w:vAlign w:val="center"/>
          </w:tcPr>
          <w:p w:rsidR="00B83890" w:rsidRDefault="00B83890" w:rsidP="006E6DC8">
            <w:pPr>
              <w:jc w:val="right"/>
              <w:rPr>
                <w:color w:val="000000"/>
                <w:lang w:val="en-GB"/>
              </w:rPr>
            </w:pPr>
          </w:p>
        </w:tc>
      </w:tr>
      <w:tr w:rsidR="00B83890" w:rsidTr="006E6DC8">
        <w:trPr>
          <w:gridBefore w:val="1"/>
          <w:wBefore w:w="31" w:type="dxa"/>
          <w:cantSplit/>
          <w:trHeight w:val="255"/>
        </w:trPr>
        <w:tc>
          <w:tcPr>
            <w:tcW w:w="6237" w:type="dxa"/>
            <w:tcBorders>
              <w:bottom w:val="single" w:sz="4" w:space="0" w:color="auto"/>
            </w:tcBorders>
            <w:vAlign w:val="center"/>
          </w:tcPr>
          <w:p w:rsidR="00B83890" w:rsidRDefault="00B83890" w:rsidP="006E6DC8">
            <w:pPr>
              <w:rPr>
                <w:color w:val="000000"/>
                <w:lang w:val="en-GB"/>
              </w:rPr>
            </w:pPr>
            <w:r>
              <w:rPr>
                <w:color w:val="000000"/>
                <w:lang w:val="en-GB"/>
              </w:rPr>
              <w:tab/>
              <w:t xml:space="preserve">Plant and equipment under finance lease </w:t>
            </w:r>
          </w:p>
          <w:p w:rsidR="00B83890" w:rsidRDefault="00B83890" w:rsidP="006E6DC8">
            <w:pPr>
              <w:rPr>
                <w:color w:val="000000"/>
                <w:lang w:val="en-GB"/>
              </w:rPr>
            </w:pPr>
            <w:r>
              <w:rPr>
                <w:color w:val="000000"/>
                <w:lang w:val="en-GB"/>
              </w:rPr>
              <w:tab/>
              <w:t>(Note 9(c))</w:t>
            </w:r>
          </w:p>
        </w:tc>
        <w:tc>
          <w:tcPr>
            <w:tcW w:w="1560" w:type="dxa"/>
            <w:tcBorders>
              <w:bottom w:val="single" w:sz="4" w:space="0" w:color="auto"/>
            </w:tcBorders>
            <w:vAlign w:val="center"/>
          </w:tcPr>
          <w:p w:rsidR="00B83890" w:rsidRDefault="00B83890" w:rsidP="006E6DC8">
            <w:pPr>
              <w:jc w:val="right"/>
              <w:rPr>
                <w:color w:val="000000"/>
                <w:lang w:val="en-GB"/>
              </w:rPr>
            </w:pPr>
          </w:p>
          <w:p w:rsidR="00B83890" w:rsidRDefault="00B83890" w:rsidP="006E6DC8">
            <w:pPr>
              <w:jc w:val="right"/>
              <w:rPr>
                <w:color w:val="000000"/>
                <w:lang w:val="en-GB"/>
              </w:rPr>
            </w:pPr>
            <w:r>
              <w:rPr>
                <w:color w:val="000000"/>
                <w:lang w:val="en-GB"/>
              </w:rPr>
              <w:t>302</w:t>
            </w:r>
          </w:p>
        </w:tc>
        <w:tc>
          <w:tcPr>
            <w:tcW w:w="1417" w:type="dxa"/>
            <w:tcBorders>
              <w:bottom w:val="single" w:sz="4" w:space="0" w:color="auto"/>
            </w:tcBorders>
            <w:vAlign w:val="center"/>
          </w:tcPr>
          <w:p w:rsidR="00B83890" w:rsidRDefault="00B83890" w:rsidP="006E6DC8">
            <w:pPr>
              <w:jc w:val="right"/>
              <w:rPr>
                <w:color w:val="000000"/>
                <w:lang w:val="en-GB"/>
              </w:rPr>
            </w:pPr>
          </w:p>
          <w:p w:rsidR="00B83890" w:rsidRDefault="00B83890" w:rsidP="006E6DC8">
            <w:pPr>
              <w:jc w:val="right"/>
              <w:rPr>
                <w:color w:val="000000"/>
                <w:lang w:val="en-GB"/>
              </w:rPr>
            </w:pPr>
            <w:r>
              <w:rPr>
                <w:color w:val="000000"/>
                <w:lang w:val="en-GB"/>
              </w:rPr>
              <w:t>332</w:t>
            </w:r>
          </w:p>
        </w:tc>
      </w:tr>
      <w:tr w:rsidR="00B83890" w:rsidTr="006E6DC8">
        <w:trPr>
          <w:gridBefore w:val="1"/>
          <w:wBefore w:w="31" w:type="dxa"/>
          <w:cantSplit/>
          <w:trHeight w:val="403"/>
        </w:trPr>
        <w:tc>
          <w:tcPr>
            <w:tcW w:w="6237" w:type="dxa"/>
            <w:tcBorders>
              <w:top w:val="single" w:sz="4" w:space="0" w:color="auto"/>
              <w:bottom w:val="double" w:sz="6" w:space="0" w:color="000000"/>
            </w:tcBorders>
            <w:vAlign w:val="bottom"/>
          </w:tcPr>
          <w:p w:rsidR="00B83890" w:rsidRPr="009C0933" w:rsidRDefault="00B83890" w:rsidP="006E6DC8">
            <w:pPr>
              <w:rPr>
                <w:b/>
                <w:color w:val="000000"/>
                <w:lang w:val="en-GB"/>
              </w:rPr>
            </w:pPr>
            <w:r w:rsidRPr="00881CAB">
              <w:rPr>
                <w:b/>
                <w:color w:val="000000"/>
                <w:lang w:val="en-GB"/>
              </w:rPr>
              <w:t>TOTAL</w:t>
            </w:r>
            <w:r>
              <w:rPr>
                <w:b/>
                <w:color w:val="000000"/>
                <w:lang w:val="en-GB"/>
              </w:rPr>
              <w:t xml:space="preserve"> NON-CURRENT ASSETS PLEDGED AS SECURITY</w:t>
            </w:r>
          </w:p>
        </w:tc>
        <w:tc>
          <w:tcPr>
            <w:tcW w:w="1560" w:type="dxa"/>
            <w:tcBorders>
              <w:top w:val="single" w:sz="4" w:space="0" w:color="auto"/>
              <w:bottom w:val="double" w:sz="6" w:space="0" w:color="000000"/>
            </w:tcBorders>
            <w:vAlign w:val="bottom"/>
          </w:tcPr>
          <w:p w:rsidR="00B83890" w:rsidRDefault="00B83890" w:rsidP="006E6DC8">
            <w:pPr>
              <w:jc w:val="right"/>
              <w:rPr>
                <w:b/>
                <w:color w:val="000000"/>
                <w:lang w:val="en-GB"/>
              </w:rPr>
            </w:pPr>
            <w:r>
              <w:rPr>
                <w:b/>
                <w:color w:val="000000"/>
                <w:lang w:val="en-GB"/>
              </w:rPr>
              <w:t>302</w:t>
            </w:r>
          </w:p>
        </w:tc>
        <w:tc>
          <w:tcPr>
            <w:tcW w:w="1417" w:type="dxa"/>
            <w:tcBorders>
              <w:top w:val="single" w:sz="4" w:space="0" w:color="auto"/>
              <w:bottom w:val="double" w:sz="6" w:space="0" w:color="000000"/>
            </w:tcBorders>
            <w:vAlign w:val="bottom"/>
          </w:tcPr>
          <w:p w:rsidR="00B83890" w:rsidRDefault="00B83890" w:rsidP="006E6DC8">
            <w:pPr>
              <w:jc w:val="right"/>
              <w:rPr>
                <w:b/>
                <w:color w:val="000000"/>
                <w:lang w:val="en-GB"/>
              </w:rPr>
            </w:pPr>
            <w:r>
              <w:rPr>
                <w:b/>
                <w:color w:val="000000"/>
                <w:lang w:val="en-GB"/>
              </w:rPr>
              <w:t>332</w:t>
            </w:r>
          </w:p>
        </w:tc>
      </w:tr>
    </w:tbl>
    <w:p w:rsidR="00B83890" w:rsidRDefault="00B83890" w:rsidP="00B83890"/>
    <w:p w:rsidR="00B83890" w:rsidRDefault="00B83890" w:rsidP="00B83890"/>
    <w:p w:rsidR="00B83890" w:rsidRDefault="00B83890" w:rsidP="00B83890">
      <w:pPr>
        <w:keepNext w:val="0"/>
        <w:outlineLvl w:val="9"/>
      </w:pPr>
      <w:r>
        <w:br w:type="page"/>
      </w:r>
    </w:p>
    <w:p w:rsidR="00B83890" w:rsidRPr="0036663F" w:rsidRDefault="00B83890" w:rsidP="00B83890"/>
    <w:p w:rsidR="00B83890" w:rsidRDefault="00B83890" w:rsidP="00513943">
      <w:pPr>
        <w:pStyle w:val="Heading3"/>
      </w:pPr>
      <w:r>
        <w:t xml:space="preserve">12. </w:t>
      </w:r>
      <w:r w:rsidR="00513943">
        <w:tab/>
      </w:r>
      <w:r w:rsidRPr="00D605F7">
        <w:t>PROVISION</w:t>
      </w:r>
      <w:r>
        <w:t>S</w:t>
      </w:r>
      <w:r w:rsidRPr="00D605F7">
        <w:t xml:space="preserve"> </w:t>
      </w:r>
    </w:p>
    <w:tbl>
      <w:tblPr>
        <w:tblW w:w="9245" w:type="dxa"/>
        <w:tblLayout w:type="fixed"/>
        <w:tblCellMar>
          <w:left w:w="31" w:type="dxa"/>
          <w:right w:w="31" w:type="dxa"/>
        </w:tblCellMar>
        <w:tblLook w:val="0000" w:firstRow="0" w:lastRow="0" w:firstColumn="0" w:lastColumn="0" w:noHBand="0" w:noVBand="0"/>
        <w:tblCaption w:val="Provisions"/>
        <w:tblDescription w:val="This table shows Provisions for 2012–13 with comparison to 2011–12."/>
      </w:tblPr>
      <w:tblGrid>
        <w:gridCol w:w="31"/>
        <w:gridCol w:w="7088"/>
        <w:gridCol w:w="709"/>
        <w:gridCol w:w="141"/>
        <w:gridCol w:w="1276"/>
      </w:tblGrid>
      <w:tr w:rsidR="00B83890" w:rsidTr="006E6DC8">
        <w:trPr>
          <w:cantSplit/>
          <w:trHeight w:val="255"/>
        </w:trPr>
        <w:tc>
          <w:tcPr>
            <w:tcW w:w="7828" w:type="dxa"/>
            <w:gridSpan w:val="3"/>
          </w:tcPr>
          <w:p w:rsidR="00B83890" w:rsidRDefault="00B83890" w:rsidP="006E6DC8">
            <w:pPr>
              <w:jc w:val="right"/>
              <w:rPr>
                <w:b/>
                <w:i/>
                <w:sz w:val="18"/>
                <w:lang w:val="en-GB"/>
              </w:rPr>
            </w:pPr>
            <w:r>
              <w:rPr>
                <w:b/>
                <w:lang w:val="en-GB"/>
              </w:rPr>
              <w:t>2013</w:t>
            </w:r>
          </w:p>
        </w:tc>
        <w:tc>
          <w:tcPr>
            <w:tcW w:w="1417" w:type="dxa"/>
            <w:gridSpan w:val="2"/>
          </w:tcPr>
          <w:p w:rsidR="00B83890" w:rsidRDefault="00B83890" w:rsidP="006E6DC8">
            <w:pPr>
              <w:jc w:val="right"/>
              <w:rPr>
                <w:b/>
                <w:i/>
                <w:sz w:val="18"/>
                <w:lang w:val="en-GB"/>
              </w:rPr>
            </w:pPr>
            <w:r>
              <w:rPr>
                <w:b/>
                <w:lang w:val="en-GB"/>
              </w:rPr>
              <w:t>2012</w:t>
            </w:r>
          </w:p>
        </w:tc>
      </w:tr>
      <w:tr w:rsidR="00B83890" w:rsidTr="006E6DC8">
        <w:trPr>
          <w:cantSplit/>
          <w:trHeight w:val="255"/>
        </w:trPr>
        <w:tc>
          <w:tcPr>
            <w:tcW w:w="7828" w:type="dxa"/>
            <w:gridSpan w:val="3"/>
            <w:vAlign w:val="center"/>
          </w:tcPr>
          <w:p w:rsidR="00B83890" w:rsidRDefault="00B83890" w:rsidP="006E6DC8">
            <w:pPr>
              <w:jc w:val="right"/>
              <w:rPr>
                <w:b/>
                <w:lang w:val="en-GB"/>
              </w:rPr>
            </w:pPr>
            <w:r>
              <w:rPr>
                <w:b/>
                <w:lang w:val="en-GB"/>
              </w:rPr>
              <w:t>$’000</w:t>
            </w:r>
          </w:p>
        </w:tc>
        <w:tc>
          <w:tcPr>
            <w:tcW w:w="1417" w:type="dxa"/>
            <w:gridSpan w:val="2"/>
            <w:vAlign w:val="center"/>
          </w:tcPr>
          <w:p w:rsidR="00B83890" w:rsidRDefault="00B83890" w:rsidP="006E6DC8">
            <w:pPr>
              <w:jc w:val="right"/>
              <w:rPr>
                <w:b/>
                <w:lang w:val="en-GB"/>
              </w:rPr>
            </w:pPr>
            <w:r>
              <w:rPr>
                <w:b/>
                <w:lang w:val="en-GB"/>
              </w:rPr>
              <w:t>$’000</w:t>
            </w:r>
          </w:p>
        </w:tc>
      </w:tr>
      <w:tr w:rsidR="00B83890" w:rsidTr="006E6DC8">
        <w:trPr>
          <w:gridBefore w:val="1"/>
          <w:wBefore w:w="31" w:type="dxa"/>
          <w:cantSplit/>
          <w:trHeight w:val="255"/>
        </w:trPr>
        <w:tc>
          <w:tcPr>
            <w:tcW w:w="7088" w:type="dxa"/>
            <w:vAlign w:val="center"/>
          </w:tcPr>
          <w:p w:rsidR="00B83890" w:rsidRDefault="00B83890" w:rsidP="00751664">
            <w:pPr>
              <w:ind w:left="678"/>
              <w:rPr>
                <w:b/>
                <w:color w:val="000000"/>
                <w:lang w:val="en-GB"/>
              </w:rPr>
            </w:pPr>
            <w:r>
              <w:rPr>
                <w:b/>
                <w:color w:val="000000"/>
                <w:lang w:val="en-GB"/>
              </w:rPr>
              <w:t>Current Provisions</w:t>
            </w:r>
          </w:p>
        </w:tc>
        <w:tc>
          <w:tcPr>
            <w:tcW w:w="850" w:type="dxa"/>
            <w:gridSpan w:val="2"/>
            <w:vAlign w:val="center"/>
          </w:tcPr>
          <w:p w:rsidR="00B83890" w:rsidRDefault="00B83890" w:rsidP="006E6DC8">
            <w:pPr>
              <w:jc w:val="right"/>
              <w:rPr>
                <w:b/>
                <w:lang w:val="en-GB"/>
              </w:rPr>
            </w:pPr>
          </w:p>
        </w:tc>
        <w:tc>
          <w:tcPr>
            <w:tcW w:w="1276" w:type="dxa"/>
            <w:vAlign w:val="center"/>
          </w:tcPr>
          <w:p w:rsidR="00B83890" w:rsidRDefault="00B83890" w:rsidP="006E6DC8">
            <w:pPr>
              <w:jc w:val="right"/>
              <w:rPr>
                <w:b/>
                <w:lang w:val="en-GB"/>
              </w:rPr>
            </w:pPr>
          </w:p>
        </w:tc>
      </w:tr>
      <w:tr w:rsidR="00B83890" w:rsidRPr="008F09DA" w:rsidTr="006E6DC8">
        <w:trPr>
          <w:gridBefore w:val="1"/>
          <w:wBefore w:w="31" w:type="dxa"/>
          <w:cantSplit/>
          <w:trHeight w:val="255"/>
        </w:trPr>
        <w:tc>
          <w:tcPr>
            <w:tcW w:w="7088" w:type="dxa"/>
            <w:vAlign w:val="center"/>
          </w:tcPr>
          <w:p w:rsidR="00B83890" w:rsidRPr="008F09DA" w:rsidRDefault="00B83890" w:rsidP="006E6DC8">
            <w:pPr>
              <w:ind w:left="720"/>
              <w:rPr>
                <w:color w:val="000000"/>
                <w:lang w:val="en-GB"/>
              </w:rPr>
            </w:pPr>
            <w:r w:rsidRPr="008F09DA">
              <w:rPr>
                <w:color w:val="000000"/>
                <w:lang w:val="en-GB"/>
              </w:rPr>
              <w:t>Employee Benefits (Note 12(a)) – Annual Leave</w:t>
            </w:r>
          </w:p>
        </w:tc>
        <w:tc>
          <w:tcPr>
            <w:tcW w:w="850" w:type="dxa"/>
            <w:gridSpan w:val="2"/>
            <w:vAlign w:val="center"/>
          </w:tcPr>
          <w:p w:rsidR="00B83890" w:rsidRPr="008F09DA" w:rsidRDefault="00B83890" w:rsidP="006E6DC8">
            <w:pPr>
              <w:jc w:val="right"/>
              <w:rPr>
                <w:color w:val="000000"/>
                <w:lang w:val="en-GB"/>
              </w:rPr>
            </w:pPr>
          </w:p>
        </w:tc>
        <w:tc>
          <w:tcPr>
            <w:tcW w:w="1276" w:type="dxa"/>
            <w:vAlign w:val="center"/>
          </w:tcPr>
          <w:p w:rsidR="00B83890" w:rsidRPr="008F09DA" w:rsidRDefault="00B83890" w:rsidP="006E6DC8">
            <w:pPr>
              <w:jc w:val="right"/>
              <w:rPr>
                <w:color w:val="000000"/>
                <w:lang w:val="en-GB"/>
              </w:rPr>
            </w:pPr>
          </w:p>
        </w:tc>
      </w:tr>
      <w:tr w:rsidR="00B83890" w:rsidRPr="008F09DA" w:rsidTr="006E6DC8">
        <w:trPr>
          <w:gridBefore w:val="1"/>
          <w:wBefore w:w="31" w:type="dxa"/>
          <w:cantSplit/>
          <w:trHeight w:val="255"/>
        </w:trPr>
        <w:tc>
          <w:tcPr>
            <w:tcW w:w="7088" w:type="dxa"/>
            <w:vAlign w:val="center"/>
          </w:tcPr>
          <w:p w:rsidR="00B83890" w:rsidRPr="008F09DA" w:rsidRDefault="00B83890" w:rsidP="006E6DC8">
            <w:pPr>
              <w:ind w:left="720"/>
              <w:rPr>
                <w:color w:val="000000"/>
                <w:lang w:val="en-GB"/>
              </w:rPr>
            </w:pPr>
            <w:r w:rsidRPr="008F09DA">
              <w:rPr>
                <w:color w:val="000000"/>
                <w:lang w:val="en-GB"/>
              </w:rPr>
              <w:t>Unconditional and expected to be settled within 12 months**</w:t>
            </w:r>
          </w:p>
        </w:tc>
        <w:tc>
          <w:tcPr>
            <w:tcW w:w="850" w:type="dxa"/>
            <w:gridSpan w:val="2"/>
            <w:vAlign w:val="center"/>
          </w:tcPr>
          <w:p w:rsidR="00B83890" w:rsidRPr="008F09DA" w:rsidRDefault="00B83890" w:rsidP="006E6DC8">
            <w:pPr>
              <w:jc w:val="right"/>
              <w:rPr>
                <w:color w:val="000000"/>
                <w:lang w:val="en-GB"/>
              </w:rPr>
            </w:pPr>
            <w:r>
              <w:rPr>
                <w:color w:val="000000"/>
                <w:lang w:val="en-GB"/>
              </w:rPr>
              <w:t>2,764</w:t>
            </w:r>
          </w:p>
        </w:tc>
        <w:tc>
          <w:tcPr>
            <w:tcW w:w="1276" w:type="dxa"/>
            <w:vAlign w:val="center"/>
          </w:tcPr>
          <w:p w:rsidR="00B83890" w:rsidRPr="008F09DA" w:rsidRDefault="00B83890" w:rsidP="006E6DC8">
            <w:pPr>
              <w:jc w:val="right"/>
              <w:rPr>
                <w:color w:val="000000"/>
                <w:lang w:val="en-GB"/>
              </w:rPr>
            </w:pPr>
            <w:r>
              <w:rPr>
                <w:color w:val="000000"/>
                <w:lang w:val="en-GB"/>
              </w:rPr>
              <w:t>2,600</w:t>
            </w:r>
          </w:p>
        </w:tc>
      </w:tr>
      <w:tr w:rsidR="00B83890" w:rsidRPr="008F09DA" w:rsidTr="006E6DC8">
        <w:trPr>
          <w:gridBefore w:val="1"/>
          <w:wBefore w:w="31" w:type="dxa"/>
          <w:cantSplit/>
          <w:trHeight w:val="255"/>
        </w:trPr>
        <w:tc>
          <w:tcPr>
            <w:tcW w:w="7088" w:type="dxa"/>
            <w:vAlign w:val="center"/>
          </w:tcPr>
          <w:p w:rsidR="00B83890" w:rsidRPr="008F09DA" w:rsidRDefault="00B83890" w:rsidP="006E6DC8">
            <w:pPr>
              <w:ind w:left="720"/>
              <w:rPr>
                <w:color w:val="000000"/>
                <w:lang w:val="en-GB"/>
              </w:rPr>
            </w:pPr>
            <w:r w:rsidRPr="008F09DA">
              <w:rPr>
                <w:color w:val="000000"/>
                <w:lang w:val="en-GB"/>
              </w:rPr>
              <w:t>Employee Benefits (Note 12(a)) – Long Service Leave</w:t>
            </w:r>
          </w:p>
        </w:tc>
        <w:tc>
          <w:tcPr>
            <w:tcW w:w="850" w:type="dxa"/>
            <w:gridSpan w:val="2"/>
            <w:vAlign w:val="center"/>
          </w:tcPr>
          <w:p w:rsidR="00B83890" w:rsidRPr="008F09DA" w:rsidRDefault="00B83890" w:rsidP="006E6DC8">
            <w:pPr>
              <w:jc w:val="right"/>
              <w:rPr>
                <w:color w:val="000000"/>
                <w:lang w:val="en-GB"/>
              </w:rPr>
            </w:pPr>
          </w:p>
        </w:tc>
        <w:tc>
          <w:tcPr>
            <w:tcW w:w="1276" w:type="dxa"/>
            <w:vAlign w:val="center"/>
          </w:tcPr>
          <w:p w:rsidR="00B83890" w:rsidRPr="008F09DA" w:rsidRDefault="00B83890" w:rsidP="006E6DC8">
            <w:pPr>
              <w:jc w:val="right"/>
              <w:rPr>
                <w:color w:val="000000"/>
                <w:lang w:val="en-GB"/>
              </w:rPr>
            </w:pPr>
          </w:p>
        </w:tc>
      </w:tr>
      <w:tr w:rsidR="00B83890" w:rsidRPr="008F09DA" w:rsidTr="006E6DC8">
        <w:trPr>
          <w:gridBefore w:val="1"/>
          <w:wBefore w:w="31" w:type="dxa"/>
          <w:cantSplit/>
          <w:trHeight w:val="255"/>
        </w:trPr>
        <w:tc>
          <w:tcPr>
            <w:tcW w:w="7088" w:type="dxa"/>
            <w:vAlign w:val="center"/>
          </w:tcPr>
          <w:p w:rsidR="00B83890" w:rsidRPr="008F09DA" w:rsidRDefault="00B83890" w:rsidP="006E6DC8">
            <w:pPr>
              <w:ind w:left="720"/>
              <w:rPr>
                <w:color w:val="000000"/>
                <w:lang w:val="en-GB"/>
              </w:rPr>
            </w:pPr>
            <w:r w:rsidRPr="008F09DA">
              <w:rPr>
                <w:color w:val="000000"/>
                <w:lang w:val="en-GB"/>
              </w:rPr>
              <w:t>Unconditional and expected to be settled within 12 months**</w:t>
            </w:r>
          </w:p>
        </w:tc>
        <w:tc>
          <w:tcPr>
            <w:tcW w:w="850" w:type="dxa"/>
            <w:gridSpan w:val="2"/>
            <w:vAlign w:val="center"/>
          </w:tcPr>
          <w:p w:rsidR="00B83890" w:rsidRPr="008F09DA" w:rsidRDefault="00B83890" w:rsidP="006E6DC8">
            <w:pPr>
              <w:jc w:val="right"/>
              <w:rPr>
                <w:color w:val="000000"/>
                <w:lang w:val="en-GB"/>
              </w:rPr>
            </w:pPr>
            <w:r>
              <w:rPr>
                <w:color w:val="000000"/>
                <w:lang w:val="en-GB"/>
              </w:rPr>
              <w:t>3,478</w:t>
            </w:r>
          </w:p>
        </w:tc>
        <w:tc>
          <w:tcPr>
            <w:tcW w:w="1276" w:type="dxa"/>
            <w:vAlign w:val="center"/>
          </w:tcPr>
          <w:p w:rsidR="00B83890" w:rsidRPr="008F09DA" w:rsidRDefault="00B83890" w:rsidP="006E6DC8">
            <w:pPr>
              <w:jc w:val="right"/>
              <w:rPr>
                <w:color w:val="000000"/>
                <w:lang w:val="en-GB"/>
              </w:rPr>
            </w:pPr>
            <w:r>
              <w:rPr>
                <w:color w:val="000000"/>
                <w:lang w:val="en-GB"/>
              </w:rPr>
              <w:t>3,112</w:t>
            </w:r>
          </w:p>
        </w:tc>
      </w:tr>
      <w:tr w:rsidR="00B83890" w:rsidRPr="008F09DA" w:rsidTr="006E6DC8">
        <w:trPr>
          <w:gridBefore w:val="1"/>
          <w:wBefore w:w="31" w:type="dxa"/>
          <w:cantSplit/>
          <w:trHeight w:val="255"/>
        </w:trPr>
        <w:tc>
          <w:tcPr>
            <w:tcW w:w="7088" w:type="dxa"/>
            <w:tcBorders>
              <w:bottom w:val="single" w:sz="4" w:space="0" w:color="auto"/>
            </w:tcBorders>
            <w:vAlign w:val="center"/>
          </w:tcPr>
          <w:p w:rsidR="00B83890" w:rsidRPr="008F09DA" w:rsidRDefault="00B83890" w:rsidP="006E6DC8">
            <w:pPr>
              <w:ind w:left="720"/>
              <w:rPr>
                <w:color w:val="000000"/>
                <w:lang w:val="en-GB"/>
              </w:rPr>
            </w:pPr>
            <w:r w:rsidRPr="008F09DA">
              <w:rPr>
                <w:color w:val="000000"/>
                <w:lang w:val="en-GB"/>
              </w:rPr>
              <w:t>Unconditional and expected to be settled after 12 months***</w:t>
            </w:r>
          </w:p>
        </w:tc>
        <w:tc>
          <w:tcPr>
            <w:tcW w:w="850" w:type="dxa"/>
            <w:gridSpan w:val="2"/>
            <w:tcBorders>
              <w:bottom w:val="single" w:sz="4" w:space="0" w:color="auto"/>
            </w:tcBorders>
            <w:vAlign w:val="center"/>
          </w:tcPr>
          <w:p w:rsidR="00B83890" w:rsidRPr="008F09DA" w:rsidRDefault="00B83890" w:rsidP="006E6DC8">
            <w:pPr>
              <w:jc w:val="right"/>
              <w:rPr>
                <w:color w:val="000000"/>
                <w:lang w:val="en-GB"/>
              </w:rPr>
            </w:pPr>
            <w:r>
              <w:rPr>
                <w:color w:val="000000"/>
                <w:lang w:val="en-GB"/>
              </w:rPr>
              <w:t>1,106</w:t>
            </w:r>
          </w:p>
        </w:tc>
        <w:tc>
          <w:tcPr>
            <w:tcW w:w="1276" w:type="dxa"/>
            <w:tcBorders>
              <w:bottom w:val="single" w:sz="4" w:space="0" w:color="auto"/>
            </w:tcBorders>
            <w:vAlign w:val="center"/>
          </w:tcPr>
          <w:p w:rsidR="00B83890" w:rsidRPr="008F09DA" w:rsidRDefault="00B83890" w:rsidP="006E6DC8">
            <w:pPr>
              <w:jc w:val="right"/>
              <w:rPr>
                <w:color w:val="000000"/>
                <w:lang w:val="en-GB"/>
              </w:rPr>
            </w:pPr>
            <w:r>
              <w:rPr>
                <w:color w:val="000000"/>
                <w:lang w:val="en-GB"/>
              </w:rPr>
              <w:t>1,283</w:t>
            </w:r>
          </w:p>
        </w:tc>
      </w:tr>
      <w:tr w:rsidR="00B83890" w:rsidRPr="008F09DA" w:rsidTr="006E6DC8">
        <w:trPr>
          <w:gridBefore w:val="1"/>
          <w:wBefore w:w="31" w:type="dxa"/>
          <w:cantSplit/>
          <w:trHeight w:val="206"/>
        </w:trPr>
        <w:tc>
          <w:tcPr>
            <w:tcW w:w="7088" w:type="dxa"/>
            <w:tcBorders>
              <w:top w:val="single" w:sz="4" w:space="0" w:color="auto"/>
            </w:tcBorders>
          </w:tcPr>
          <w:p w:rsidR="00B83890" w:rsidRPr="008F09DA" w:rsidRDefault="00B83890" w:rsidP="006E6DC8">
            <w:pPr>
              <w:pStyle w:val="total"/>
            </w:pPr>
          </w:p>
        </w:tc>
        <w:tc>
          <w:tcPr>
            <w:tcW w:w="850" w:type="dxa"/>
            <w:gridSpan w:val="2"/>
            <w:tcBorders>
              <w:top w:val="single" w:sz="4" w:space="0" w:color="auto"/>
            </w:tcBorders>
          </w:tcPr>
          <w:p w:rsidR="00B83890" w:rsidRPr="008F09DA" w:rsidRDefault="00B83890" w:rsidP="006E6DC8">
            <w:pPr>
              <w:jc w:val="right"/>
              <w:rPr>
                <w:b/>
                <w:color w:val="000000"/>
                <w:lang w:val="en-GB"/>
              </w:rPr>
            </w:pPr>
            <w:r>
              <w:rPr>
                <w:b/>
                <w:color w:val="000000"/>
                <w:lang w:val="en-GB"/>
              </w:rPr>
              <w:t>7,348</w:t>
            </w:r>
          </w:p>
        </w:tc>
        <w:tc>
          <w:tcPr>
            <w:tcW w:w="1276" w:type="dxa"/>
            <w:tcBorders>
              <w:top w:val="single" w:sz="4" w:space="0" w:color="auto"/>
            </w:tcBorders>
          </w:tcPr>
          <w:p w:rsidR="00B83890" w:rsidRPr="008F09DA" w:rsidRDefault="00B83890" w:rsidP="006E6DC8">
            <w:pPr>
              <w:jc w:val="right"/>
              <w:rPr>
                <w:b/>
                <w:color w:val="000000"/>
                <w:lang w:val="en-GB"/>
              </w:rPr>
            </w:pPr>
            <w:r>
              <w:rPr>
                <w:b/>
                <w:color w:val="000000"/>
                <w:lang w:val="en-GB"/>
              </w:rPr>
              <w:t>6,995</w:t>
            </w:r>
          </w:p>
        </w:tc>
      </w:tr>
      <w:tr w:rsidR="00B83890" w:rsidRPr="008F09DA" w:rsidTr="006E6DC8">
        <w:trPr>
          <w:gridBefore w:val="1"/>
          <w:wBefore w:w="31" w:type="dxa"/>
          <w:cantSplit/>
          <w:trHeight w:val="255"/>
        </w:trPr>
        <w:tc>
          <w:tcPr>
            <w:tcW w:w="7088" w:type="dxa"/>
            <w:vAlign w:val="center"/>
          </w:tcPr>
          <w:p w:rsidR="00B83890" w:rsidRPr="008F09DA" w:rsidRDefault="00B83890" w:rsidP="006E6DC8">
            <w:pPr>
              <w:ind w:left="678"/>
              <w:rPr>
                <w:color w:val="000000"/>
                <w:lang w:val="en-GB"/>
              </w:rPr>
            </w:pPr>
            <w:r w:rsidRPr="008F09DA">
              <w:rPr>
                <w:color w:val="000000"/>
                <w:lang w:val="en-GB"/>
              </w:rPr>
              <w:t xml:space="preserve"> Provisions related to employee benefit on-costs (Note 12(a)):</w:t>
            </w:r>
          </w:p>
        </w:tc>
        <w:tc>
          <w:tcPr>
            <w:tcW w:w="850" w:type="dxa"/>
            <w:gridSpan w:val="2"/>
            <w:vAlign w:val="center"/>
          </w:tcPr>
          <w:p w:rsidR="00B83890" w:rsidRPr="008F09DA" w:rsidRDefault="00B83890" w:rsidP="006E6DC8">
            <w:pPr>
              <w:jc w:val="right"/>
              <w:rPr>
                <w:color w:val="000000"/>
                <w:lang w:val="en-GB"/>
              </w:rPr>
            </w:pPr>
          </w:p>
        </w:tc>
        <w:tc>
          <w:tcPr>
            <w:tcW w:w="1276" w:type="dxa"/>
            <w:vAlign w:val="center"/>
          </w:tcPr>
          <w:p w:rsidR="00B83890" w:rsidRPr="008F09DA" w:rsidRDefault="00B83890" w:rsidP="006E6DC8">
            <w:pPr>
              <w:jc w:val="right"/>
              <w:rPr>
                <w:color w:val="000000"/>
                <w:lang w:val="en-GB"/>
              </w:rPr>
            </w:pPr>
          </w:p>
        </w:tc>
      </w:tr>
      <w:tr w:rsidR="00B83890" w:rsidRPr="008F09DA" w:rsidTr="006E6DC8">
        <w:trPr>
          <w:gridBefore w:val="1"/>
          <w:wBefore w:w="31" w:type="dxa"/>
          <w:cantSplit/>
          <w:trHeight w:val="255"/>
        </w:trPr>
        <w:tc>
          <w:tcPr>
            <w:tcW w:w="7088" w:type="dxa"/>
            <w:vAlign w:val="center"/>
          </w:tcPr>
          <w:p w:rsidR="00B83890" w:rsidRPr="008F09DA" w:rsidRDefault="00B83890" w:rsidP="006E6DC8">
            <w:pPr>
              <w:ind w:left="720"/>
              <w:rPr>
                <w:color w:val="000000"/>
                <w:lang w:val="en-GB"/>
              </w:rPr>
            </w:pPr>
            <w:r w:rsidRPr="008F09DA">
              <w:rPr>
                <w:color w:val="000000"/>
                <w:lang w:val="en-GB"/>
              </w:rPr>
              <w:t>Unconditional and expected to be settled within 12 months**</w:t>
            </w:r>
          </w:p>
        </w:tc>
        <w:tc>
          <w:tcPr>
            <w:tcW w:w="850" w:type="dxa"/>
            <w:gridSpan w:val="2"/>
            <w:vAlign w:val="center"/>
          </w:tcPr>
          <w:p w:rsidR="00B83890" w:rsidRPr="008F09DA" w:rsidRDefault="00B83890" w:rsidP="006E6DC8">
            <w:pPr>
              <w:jc w:val="right"/>
              <w:rPr>
                <w:color w:val="000000"/>
                <w:lang w:val="en-GB"/>
              </w:rPr>
            </w:pPr>
            <w:r>
              <w:rPr>
                <w:color w:val="000000"/>
                <w:lang w:val="en-GB"/>
              </w:rPr>
              <w:t>964</w:t>
            </w:r>
          </w:p>
        </w:tc>
        <w:tc>
          <w:tcPr>
            <w:tcW w:w="1276" w:type="dxa"/>
            <w:vAlign w:val="center"/>
          </w:tcPr>
          <w:p w:rsidR="00B83890" w:rsidRPr="008F09DA" w:rsidRDefault="00B83890" w:rsidP="006E6DC8">
            <w:pPr>
              <w:jc w:val="right"/>
              <w:rPr>
                <w:color w:val="000000"/>
                <w:lang w:val="en-GB"/>
              </w:rPr>
            </w:pPr>
            <w:r>
              <w:rPr>
                <w:color w:val="000000"/>
                <w:lang w:val="en-GB"/>
              </w:rPr>
              <w:t>868</w:t>
            </w:r>
          </w:p>
        </w:tc>
      </w:tr>
      <w:tr w:rsidR="00B83890" w:rsidRPr="008F09DA" w:rsidTr="006E6DC8">
        <w:trPr>
          <w:gridBefore w:val="1"/>
          <w:wBefore w:w="31" w:type="dxa"/>
          <w:cantSplit/>
          <w:trHeight w:val="255"/>
        </w:trPr>
        <w:tc>
          <w:tcPr>
            <w:tcW w:w="7088" w:type="dxa"/>
            <w:tcBorders>
              <w:bottom w:val="single" w:sz="4" w:space="0" w:color="auto"/>
            </w:tcBorders>
            <w:vAlign w:val="center"/>
          </w:tcPr>
          <w:p w:rsidR="00B83890" w:rsidRPr="008F09DA" w:rsidRDefault="00B83890" w:rsidP="006E6DC8">
            <w:pPr>
              <w:ind w:left="720"/>
              <w:rPr>
                <w:color w:val="000000"/>
                <w:lang w:val="en-GB"/>
              </w:rPr>
            </w:pPr>
            <w:r w:rsidRPr="008F09DA">
              <w:rPr>
                <w:color w:val="000000"/>
                <w:lang w:val="en-GB"/>
              </w:rPr>
              <w:t>Unconditional and expected to be settled after 12 months***</w:t>
            </w:r>
          </w:p>
        </w:tc>
        <w:tc>
          <w:tcPr>
            <w:tcW w:w="850" w:type="dxa"/>
            <w:gridSpan w:val="2"/>
            <w:tcBorders>
              <w:bottom w:val="single" w:sz="4" w:space="0" w:color="auto"/>
            </w:tcBorders>
            <w:vAlign w:val="center"/>
          </w:tcPr>
          <w:p w:rsidR="00B83890" w:rsidRPr="008F09DA" w:rsidRDefault="00B83890" w:rsidP="006E6DC8">
            <w:pPr>
              <w:jc w:val="right"/>
              <w:rPr>
                <w:color w:val="000000"/>
                <w:lang w:val="en-GB"/>
              </w:rPr>
            </w:pPr>
            <w:r>
              <w:rPr>
                <w:color w:val="000000"/>
                <w:lang w:val="en-GB"/>
              </w:rPr>
              <w:t>171</w:t>
            </w:r>
          </w:p>
        </w:tc>
        <w:tc>
          <w:tcPr>
            <w:tcW w:w="1276" w:type="dxa"/>
            <w:tcBorders>
              <w:bottom w:val="single" w:sz="4" w:space="0" w:color="auto"/>
            </w:tcBorders>
            <w:vAlign w:val="center"/>
          </w:tcPr>
          <w:p w:rsidR="00B83890" w:rsidRPr="008F09DA" w:rsidRDefault="00B83890" w:rsidP="006E6DC8">
            <w:pPr>
              <w:jc w:val="right"/>
              <w:rPr>
                <w:color w:val="000000"/>
                <w:lang w:val="en-GB"/>
              </w:rPr>
            </w:pPr>
            <w:r>
              <w:rPr>
                <w:color w:val="000000"/>
                <w:lang w:val="en-GB"/>
              </w:rPr>
              <w:t>195</w:t>
            </w:r>
          </w:p>
        </w:tc>
      </w:tr>
      <w:tr w:rsidR="00B83890" w:rsidRPr="008F09DA" w:rsidTr="006E6DC8">
        <w:trPr>
          <w:gridBefore w:val="1"/>
          <w:wBefore w:w="31" w:type="dxa"/>
          <w:cantSplit/>
          <w:trHeight w:val="255"/>
        </w:trPr>
        <w:tc>
          <w:tcPr>
            <w:tcW w:w="7088" w:type="dxa"/>
            <w:tcBorders>
              <w:top w:val="single" w:sz="4" w:space="0" w:color="auto"/>
              <w:bottom w:val="single" w:sz="4" w:space="0" w:color="auto"/>
            </w:tcBorders>
            <w:vAlign w:val="center"/>
          </w:tcPr>
          <w:p w:rsidR="00B83890" w:rsidRPr="008F09DA" w:rsidRDefault="00B83890" w:rsidP="006E6DC8">
            <w:pPr>
              <w:ind w:left="720"/>
              <w:rPr>
                <w:b/>
                <w:color w:val="000000"/>
                <w:lang w:val="en-GB"/>
              </w:rPr>
            </w:pPr>
          </w:p>
        </w:tc>
        <w:tc>
          <w:tcPr>
            <w:tcW w:w="850" w:type="dxa"/>
            <w:gridSpan w:val="2"/>
            <w:tcBorders>
              <w:top w:val="single" w:sz="4" w:space="0" w:color="auto"/>
              <w:bottom w:val="single" w:sz="4" w:space="0" w:color="auto"/>
            </w:tcBorders>
            <w:vAlign w:val="center"/>
          </w:tcPr>
          <w:p w:rsidR="00B83890" w:rsidRPr="008F09DA" w:rsidRDefault="00B83890" w:rsidP="006E6DC8">
            <w:pPr>
              <w:jc w:val="right"/>
              <w:rPr>
                <w:b/>
                <w:color w:val="000000"/>
                <w:lang w:val="en-GB"/>
              </w:rPr>
            </w:pPr>
            <w:r>
              <w:rPr>
                <w:b/>
                <w:color w:val="000000"/>
                <w:lang w:val="en-GB"/>
              </w:rPr>
              <w:t>1,135</w:t>
            </w:r>
          </w:p>
        </w:tc>
        <w:tc>
          <w:tcPr>
            <w:tcW w:w="1276" w:type="dxa"/>
            <w:tcBorders>
              <w:top w:val="single" w:sz="4" w:space="0" w:color="auto"/>
              <w:bottom w:val="single" w:sz="4" w:space="0" w:color="auto"/>
            </w:tcBorders>
            <w:vAlign w:val="center"/>
          </w:tcPr>
          <w:p w:rsidR="00B83890" w:rsidRPr="008F09DA" w:rsidRDefault="00B83890" w:rsidP="006E6DC8">
            <w:pPr>
              <w:jc w:val="right"/>
              <w:rPr>
                <w:b/>
                <w:color w:val="000000"/>
                <w:lang w:val="en-GB"/>
              </w:rPr>
            </w:pPr>
            <w:r>
              <w:rPr>
                <w:b/>
                <w:color w:val="000000"/>
                <w:lang w:val="en-GB"/>
              </w:rPr>
              <w:t>1,063</w:t>
            </w:r>
          </w:p>
        </w:tc>
      </w:tr>
      <w:tr w:rsidR="00B83890" w:rsidRPr="008F09DA" w:rsidTr="006E6DC8">
        <w:trPr>
          <w:gridBefore w:val="1"/>
          <w:wBefore w:w="31" w:type="dxa"/>
          <w:cantSplit/>
          <w:trHeight w:val="255"/>
        </w:trPr>
        <w:tc>
          <w:tcPr>
            <w:tcW w:w="7088" w:type="dxa"/>
            <w:tcBorders>
              <w:top w:val="single" w:sz="4" w:space="0" w:color="auto"/>
              <w:bottom w:val="single" w:sz="4" w:space="0" w:color="auto"/>
            </w:tcBorders>
            <w:vAlign w:val="center"/>
          </w:tcPr>
          <w:p w:rsidR="00B83890" w:rsidRPr="008F09DA" w:rsidRDefault="00B83890" w:rsidP="006E6DC8">
            <w:pPr>
              <w:ind w:left="720"/>
              <w:rPr>
                <w:b/>
                <w:color w:val="000000"/>
                <w:lang w:val="en-GB"/>
              </w:rPr>
            </w:pPr>
            <w:r w:rsidRPr="008F09DA">
              <w:rPr>
                <w:b/>
                <w:color w:val="000000"/>
                <w:lang w:val="en-GB"/>
              </w:rPr>
              <w:t>Total Current Provisions</w:t>
            </w:r>
          </w:p>
        </w:tc>
        <w:tc>
          <w:tcPr>
            <w:tcW w:w="850" w:type="dxa"/>
            <w:gridSpan w:val="2"/>
            <w:tcBorders>
              <w:top w:val="single" w:sz="4" w:space="0" w:color="auto"/>
              <w:bottom w:val="single" w:sz="4" w:space="0" w:color="auto"/>
            </w:tcBorders>
            <w:vAlign w:val="center"/>
          </w:tcPr>
          <w:p w:rsidR="00B83890" w:rsidRPr="008F09DA" w:rsidRDefault="00B83890" w:rsidP="006E6DC8">
            <w:pPr>
              <w:jc w:val="right"/>
              <w:rPr>
                <w:b/>
                <w:color w:val="000000"/>
                <w:lang w:val="en-GB"/>
              </w:rPr>
            </w:pPr>
            <w:r>
              <w:rPr>
                <w:b/>
                <w:color w:val="000000"/>
                <w:lang w:val="en-GB"/>
              </w:rPr>
              <w:t>8,483</w:t>
            </w:r>
          </w:p>
        </w:tc>
        <w:tc>
          <w:tcPr>
            <w:tcW w:w="1276" w:type="dxa"/>
            <w:tcBorders>
              <w:top w:val="single" w:sz="4" w:space="0" w:color="auto"/>
              <w:bottom w:val="single" w:sz="4" w:space="0" w:color="auto"/>
            </w:tcBorders>
            <w:vAlign w:val="center"/>
          </w:tcPr>
          <w:p w:rsidR="00B83890" w:rsidRPr="008F09DA" w:rsidRDefault="00B83890" w:rsidP="006E6DC8">
            <w:pPr>
              <w:jc w:val="right"/>
              <w:rPr>
                <w:b/>
                <w:color w:val="000000"/>
                <w:lang w:val="en-GB"/>
              </w:rPr>
            </w:pPr>
            <w:r>
              <w:rPr>
                <w:b/>
                <w:color w:val="000000"/>
                <w:lang w:val="en-GB"/>
              </w:rPr>
              <w:t>8,058</w:t>
            </w:r>
          </w:p>
        </w:tc>
      </w:tr>
      <w:tr w:rsidR="00B83890" w:rsidRPr="008F09DA" w:rsidTr="006E6DC8">
        <w:trPr>
          <w:gridBefore w:val="1"/>
          <w:wBefore w:w="31" w:type="dxa"/>
          <w:cantSplit/>
          <w:trHeight w:val="255"/>
        </w:trPr>
        <w:tc>
          <w:tcPr>
            <w:tcW w:w="7088" w:type="dxa"/>
            <w:tcBorders>
              <w:top w:val="single" w:sz="4" w:space="0" w:color="auto"/>
            </w:tcBorders>
            <w:vAlign w:val="center"/>
          </w:tcPr>
          <w:p w:rsidR="00B83890" w:rsidRPr="008F09DA" w:rsidRDefault="00B83890" w:rsidP="006E6DC8">
            <w:pPr>
              <w:ind w:left="720"/>
              <w:rPr>
                <w:color w:val="000000"/>
                <w:lang w:val="en-GB"/>
              </w:rPr>
            </w:pPr>
          </w:p>
        </w:tc>
        <w:tc>
          <w:tcPr>
            <w:tcW w:w="850" w:type="dxa"/>
            <w:gridSpan w:val="2"/>
            <w:tcBorders>
              <w:top w:val="single" w:sz="4" w:space="0" w:color="auto"/>
            </w:tcBorders>
            <w:vAlign w:val="center"/>
          </w:tcPr>
          <w:p w:rsidR="00B83890" w:rsidRPr="008F09DA" w:rsidRDefault="00B83890" w:rsidP="006E6DC8">
            <w:pPr>
              <w:jc w:val="right"/>
              <w:rPr>
                <w:color w:val="000000"/>
                <w:lang w:val="en-GB"/>
              </w:rPr>
            </w:pPr>
          </w:p>
        </w:tc>
        <w:tc>
          <w:tcPr>
            <w:tcW w:w="1276" w:type="dxa"/>
            <w:tcBorders>
              <w:top w:val="single" w:sz="4" w:space="0" w:color="auto"/>
            </w:tcBorders>
            <w:vAlign w:val="center"/>
          </w:tcPr>
          <w:p w:rsidR="00B83890" w:rsidRPr="008F09DA" w:rsidRDefault="00B83890" w:rsidP="006E6DC8">
            <w:pPr>
              <w:jc w:val="right"/>
              <w:rPr>
                <w:color w:val="000000"/>
                <w:lang w:val="en-GB"/>
              </w:rPr>
            </w:pPr>
          </w:p>
        </w:tc>
      </w:tr>
      <w:tr w:rsidR="00B83890" w:rsidRPr="008F09DA" w:rsidTr="006E6DC8">
        <w:trPr>
          <w:gridBefore w:val="1"/>
          <w:wBefore w:w="31" w:type="dxa"/>
          <w:cantSplit/>
          <w:trHeight w:val="255"/>
        </w:trPr>
        <w:tc>
          <w:tcPr>
            <w:tcW w:w="7088" w:type="dxa"/>
            <w:vAlign w:val="center"/>
          </w:tcPr>
          <w:p w:rsidR="00B83890" w:rsidRPr="008F09DA" w:rsidRDefault="00B83890" w:rsidP="00222E60">
            <w:pPr>
              <w:ind w:left="678"/>
              <w:rPr>
                <w:b/>
                <w:color w:val="000000"/>
                <w:lang w:val="en-GB"/>
              </w:rPr>
            </w:pPr>
            <w:r w:rsidRPr="008F09DA">
              <w:rPr>
                <w:b/>
                <w:color w:val="000000"/>
                <w:lang w:val="en-GB"/>
              </w:rPr>
              <w:t>Non</w:t>
            </w:r>
            <w:r w:rsidRPr="008F09DA">
              <w:rPr>
                <w:rFonts w:ascii="MS Mincho" w:eastAsia="MS Mincho" w:hAnsi="MS Mincho" w:cs="MS Mincho"/>
                <w:b/>
                <w:color w:val="000000"/>
                <w:lang w:val="en-GB"/>
              </w:rPr>
              <w:t>-</w:t>
            </w:r>
            <w:r w:rsidRPr="008F09DA">
              <w:rPr>
                <w:rFonts w:cs="Arial"/>
                <w:b/>
                <w:color w:val="000000"/>
                <w:lang w:val="en-GB"/>
              </w:rPr>
              <w:t>Current Provisions</w:t>
            </w:r>
          </w:p>
        </w:tc>
        <w:tc>
          <w:tcPr>
            <w:tcW w:w="850" w:type="dxa"/>
            <w:gridSpan w:val="2"/>
            <w:vAlign w:val="center"/>
          </w:tcPr>
          <w:p w:rsidR="00B83890" w:rsidRPr="008F09DA" w:rsidRDefault="00B83890" w:rsidP="006E6DC8">
            <w:pPr>
              <w:jc w:val="right"/>
              <w:rPr>
                <w:color w:val="000000"/>
                <w:lang w:val="en-GB"/>
              </w:rPr>
            </w:pPr>
          </w:p>
        </w:tc>
        <w:tc>
          <w:tcPr>
            <w:tcW w:w="1276" w:type="dxa"/>
            <w:vAlign w:val="center"/>
          </w:tcPr>
          <w:p w:rsidR="00B83890" w:rsidRPr="008F09DA" w:rsidRDefault="00B83890" w:rsidP="006E6DC8">
            <w:pPr>
              <w:jc w:val="right"/>
              <w:rPr>
                <w:color w:val="000000"/>
                <w:lang w:val="en-GB"/>
              </w:rPr>
            </w:pPr>
          </w:p>
        </w:tc>
      </w:tr>
      <w:tr w:rsidR="00B83890" w:rsidRPr="008F09DA" w:rsidTr="006E6DC8">
        <w:trPr>
          <w:gridBefore w:val="1"/>
          <w:wBefore w:w="31" w:type="dxa"/>
          <w:cantSplit/>
          <w:trHeight w:val="255"/>
        </w:trPr>
        <w:tc>
          <w:tcPr>
            <w:tcW w:w="7088" w:type="dxa"/>
            <w:vAlign w:val="center"/>
          </w:tcPr>
          <w:p w:rsidR="00B83890" w:rsidRPr="008F09DA" w:rsidRDefault="00B83890" w:rsidP="006E6DC8">
            <w:pPr>
              <w:ind w:left="720"/>
              <w:rPr>
                <w:color w:val="000000"/>
                <w:lang w:val="en-GB"/>
              </w:rPr>
            </w:pPr>
            <w:r w:rsidRPr="008F09DA">
              <w:rPr>
                <w:color w:val="000000"/>
                <w:lang w:val="en-GB"/>
              </w:rPr>
              <w:t>Employee Benefits (Note 12(a))</w:t>
            </w:r>
          </w:p>
        </w:tc>
        <w:tc>
          <w:tcPr>
            <w:tcW w:w="850" w:type="dxa"/>
            <w:gridSpan w:val="2"/>
            <w:vAlign w:val="center"/>
          </w:tcPr>
          <w:p w:rsidR="00B83890" w:rsidRPr="008F09DA" w:rsidRDefault="00B83890" w:rsidP="006E6DC8">
            <w:pPr>
              <w:jc w:val="right"/>
              <w:rPr>
                <w:color w:val="000000"/>
                <w:lang w:val="en-GB"/>
              </w:rPr>
            </w:pPr>
            <w:r>
              <w:rPr>
                <w:color w:val="000000"/>
                <w:lang w:val="en-GB"/>
              </w:rPr>
              <w:t>687</w:t>
            </w:r>
          </w:p>
        </w:tc>
        <w:tc>
          <w:tcPr>
            <w:tcW w:w="1276" w:type="dxa"/>
            <w:vAlign w:val="center"/>
          </w:tcPr>
          <w:p w:rsidR="00B83890" w:rsidRPr="008F09DA" w:rsidRDefault="00B83890" w:rsidP="006E6DC8">
            <w:pPr>
              <w:jc w:val="right"/>
              <w:rPr>
                <w:color w:val="000000"/>
                <w:lang w:val="en-GB"/>
              </w:rPr>
            </w:pPr>
            <w:r>
              <w:rPr>
                <w:color w:val="000000"/>
                <w:lang w:val="en-GB"/>
              </w:rPr>
              <w:t>446</w:t>
            </w:r>
          </w:p>
        </w:tc>
      </w:tr>
      <w:tr w:rsidR="00B83890" w:rsidRPr="008F09DA" w:rsidTr="006E6DC8">
        <w:trPr>
          <w:gridBefore w:val="1"/>
          <w:wBefore w:w="31" w:type="dxa"/>
          <w:cantSplit/>
          <w:trHeight w:val="255"/>
        </w:trPr>
        <w:tc>
          <w:tcPr>
            <w:tcW w:w="7088" w:type="dxa"/>
            <w:vAlign w:val="center"/>
          </w:tcPr>
          <w:p w:rsidR="00B83890" w:rsidRPr="008F09DA" w:rsidRDefault="00B83890" w:rsidP="006E6DC8">
            <w:pPr>
              <w:ind w:left="720"/>
              <w:rPr>
                <w:color w:val="000000"/>
                <w:lang w:val="en-GB"/>
              </w:rPr>
            </w:pPr>
            <w:r w:rsidRPr="008F09DA">
              <w:rPr>
                <w:color w:val="000000"/>
                <w:lang w:val="en-GB"/>
              </w:rPr>
              <w:t>Employee Benefits on-costs</w:t>
            </w:r>
          </w:p>
        </w:tc>
        <w:tc>
          <w:tcPr>
            <w:tcW w:w="850" w:type="dxa"/>
            <w:gridSpan w:val="2"/>
            <w:vAlign w:val="center"/>
          </w:tcPr>
          <w:p w:rsidR="00B83890" w:rsidRPr="008F09DA" w:rsidRDefault="00B83890" w:rsidP="006E6DC8">
            <w:pPr>
              <w:jc w:val="right"/>
              <w:rPr>
                <w:color w:val="000000"/>
                <w:lang w:val="en-GB"/>
              </w:rPr>
            </w:pPr>
            <w:r>
              <w:rPr>
                <w:color w:val="000000"/>
                <w:lang w:val="en-GB"/>
              </w:rPr>
              <w:t>106</w:t>
            </w:r>
          </w:p>
        </w:tc>
        <w:tc>
          <w:tcPr>
            <w:tcW w:w="1276" w:type="dxa"/>
            <w:vAlign w:val="center"/>
          </w:tcPr>
          <w:p w:rsidR="00B83890" w:rsidRPr="008F09DA" w:rsidRDefault="00B83890" w:rsidP="006E6DC8">
            <w:pPr>
              <w:jc w:val="right"/>
              <w:rPr>
                <w:color w:val="000000"/>
                <w:lang w:val="en-GB"/>
              </w:rPr>
            </w:pPr>
            <w:r>
              <w:rPr>
                <w:color w:val="000000"/>
                <w:lang w:val="en-GB"/>
              </w:rPr>
              <w:t>68</w:t>
            </w:r>
          </w:p>
        </w:tc>
      </w:tr>
      <w:tr w:rsidR="00B83890" w:rsidRPr="008F09DA" w:rsidTr="006E6DC8">
        <w:trPr>
          <w:gridBefore w:val="1"/>
          <w:wBefore w:w="31" w:type="dxa"/>
          <w:cantSplit/>
          <w:trHeight w:val="206"/>
        </w:trPr>
        <w:tc>
          <w:tcPr>
            <w:tcW w:w="7088" w:type="dxa"/>
            <w:tcBorders>
              <w:top w:val="single" w:sz="4" w:space="0" w:color="auto"/>
              <w:bottom w:val="single" w:sz="4" w:space="0" w:color="auto"/>
            </w:tcBorders>
          </w:tcPr>
          <w:p w:rsidR="00B83890" w:rsidRPr="008F09DA" w:rsidRDefault="00B83890" w:rsidP="00751664">
            <w:pPr>
              <w:ind w:left="678"/>
              <w:rPr>
                <w:rFonts w:cs="Arial"/>
                <w:b/>
              </w:rPr>
            </w:pPr>
            <w:r w:rsidRPr="008F09DA">
              <w:rPr>
                <w:rFonts w:cs="Arial"/>
                <w:b/>
              </w:rPr>
              <w:t>Total Non-Current Provisions</w:t>
            </w:r>
          </w:p>
        </w:tc>
        <w:tc>
          <w:tcPr>
            <w:tcW w:w="850" w:type="dxa"/>
            <w:gridSpan w:val="2"/>
            <w:tcBorders>
              <w:top w:val="single" w:sz="4" w:space="0" w:color="auto"/>
              <w:bottom w:val="single" w:sz="4" w:space="0" w:color="auto"/>
            </w:tcBorders>
          </w:tcPr>
          <w:p w:rsidR="00B83890" w:rsidRPr="008F09DA" w:rsidRDefault="00B83890" w:rsidP="006E6DC8">
            <w:pPr>
              <w:jc w:val="right"/>
              <w:rPr>
                <w:b/>
                <w:color w:val="000000"/>
                <w:lang w:val="en-GB"/>
              </w:rPr>
            </w:pPr>
            <w:r>
              <w:rPr>
                <w:b/>
                <w:color w:val="000000"/>
                <w:lang w:val="en-GB"/>
              </w:rPr>
              <w:t>793</w:t>
            </w:r>
          </w:p>
        </w:tc>
        <w:tc>
          <w:tcPr>
            <w:tcW w:w="1276" w:type="dxa"/>
            <w:tcBorders>
              <w:top w:val="single" w:sz="4" w:space="0" w:color="auto"/>
              <w:bottom w:val="single" w:sz="4" w:space="0" w:color="auto"/>
            </w:tcBorders>
          </w:tcPr>
          <w:p w:rsidR="00B83890" w:rsidRPr="008F09DA" w:rsidRDefault="00B83890" w:rsidP="006E6DC8">
            <w:pPr>
              <w:jc w:val="right"/>
              <w:rPr>
                <w:b/>
                <w:color w:val="000000"/>
                <w:lang w:val="en-GB"/>
              </w:rPr>
            </w:pPr>
            <w:r>
              <w:rPr>
                <w:b/>
                <w:color w:val="000000"/>
                <w:lang w:val="en-GB"/>
              </w:rPr>
              <w:t>514</w:t>
            </w:r>
          </w:p>
        </w:tc>
      </w:tr>
      <w:tr w:rsidR="00B83890" w:rsidRPr="008F09DA" w:rsidTr="006E6DC8">
        <w:trPr>
          <w:gridBefore w:val="1"/>
          <w:wBefore w:w="31" w:type="dxa"/>
          <w:cantSplit/>
          <w:trHeight w:val="391"/>
        </w:trPr>
        <w:tc>
          <w:tcPr>
            <w:tcW w:w="7088" w:type="dxa"/>
            <w:tcBorders>
              <w:top w:val="single" w:sz="4" w:space="0" w:color="auto"/>
              <w:bottom w:val="double" w:sz="6" w:space="0" w:color="000000"/>
            </w:tcBorders>
            <w:vAlign w:val="bottom"/>
          </w:tcPr>
          <w:p w:rsidR="00B83890" w:rsidRPr="008F09DA" w:rsidRDefault="00B83890" w:rsidP="00751664">
            <w:pPr>
              <w:ind w:left="678"/>
              <w:rPr>
                <w:color w:val="000000"/>
                <w:lang w:val="en-GB"/>
              </w:rPr>
            </w:pPr>
            <w:r w:rsidRPr="008F09DA">
              <w:rPr>
                <w:b/>
                <w:color w:val="000000"/>
                <w:lang w:val="en-GB"/>
              </w:rPr>
              <w:t>TOTAL PROVISIONS</w:t>
            </w:r>
          </w:p>
        </w:tc>
        <w:tc>
          <w:tcPr>
            <w:tcW w:w="850" w:type="dxa"/>
            <w:gridSpan w:val="2"/>
            <w:tcBorders>
              <w:top w:val="single" w:sz="4" w:space="0" w:color="auto"/>
              <w:bottom w:val="double" w:sz="6" w:space="0" w:color="000000"/>
            </w:tcBorders>
            <w:vAlign w:val="bottom"/>
          </w:tcPr>
          <w:p w:rsidR="00B83890" w:rsidRPr="008F09DA" w:rsidRDefault="00B83890" w:rsidP="006E6DC8">
            <w:pPr>
              <w:jc w:val="right"/>
              <w:rPr>
                <w:b/>
                <w:color w:val="000000"/>
                <w:lang w:val="en-GB"/>
              </w:rPr>
            </w:pPr>
            <w:r>
              <w:rPr>
                <w:b/>
                <w:color w:val="000000"/>
                <w:lang w:val="en-GB"/>
              </w:rPr>
              <w:t>9,276</w:t>
            </w:r>
          </w:p>
        </w:tc>
        <w:tc>
          <w:tcPr>
            <w:tcW w:w="1276" w:type="dxa"/>
            <w:tcBorders>
              <w:top w:val="single" w:sz="4" w:space="0" w:color="auto"/>
              <w:bottom w:val="double" w:sz="6" w:space="0" w:color="000000"/>
            </w:tcBorders>
            <w:vAlign w:val="bottom"/>
          </w:tcPr>
          <w:p w:rsidR="00B83890" w:rsidRPr="008F09DA" w:rsidRDefault="00B83890" w:rsidP="006E6DC8">
            <w:pPr>
              <w:jc w:val="right"/>
              <w:rPr>
                <w:b/>
                <w:color w:val="000000"/>
                <w:lang w:val="en-GB"/>
              </w:rPr>
            </w:pPr>
            <w:r>
              <w:rPr>
                <w:b/>
                <w:color w:val="000000"/>
                <w:lang w:val="en-GB"/>
              </w:rPr>
              <w:t>8,572</w:t>
            </w:r>
          </w:p>
        </w:tc>
      </w:tr>
    </w:tbl>
    <w:p w:rsidR="00B83890" w:rsidRPr="008F09DA" w:rsidRDefault="00B83890" w:rsidP="00B83890"/>
    <w:tbl>
      <w:tblPr>
        <w:tblW w:w="9214" w:type="dxa"/>
        <w:tblInd w:w="31" w:type="dxa"/>
        <w:tblLayout w:type="fixed"/>
        <w:tblCellMar>
          <w:left w:w="31" w:type="dxa"/>
          <w:right w:w="31" w:type="dxa"/>
        </w:tblCellMar>
        <w:tblLook w:val="0000" w:firstRow="0" w:lastRow="0" w:firstColumn="0" w:lastColumn="0" w:noHBand="0" w:noVBand="0"/>
        <w:tblCaption w:val="Provisions: Employee Benefits and Related On-Costs"/>
        <w:tblDescription w:val="This table shows Employee Benefits and Related On-Costs for 2012–13 with comparison to 2011–12."/>
      </w:tblPr>
      <w:tblGrid>
        <w:gridCol w:w="6521"/>
        <w:gridCol w:w="1559"/>
        <w:gridCol w:w="1134"/>
      </w:tblGrid>
      <w:tr w:rsidR="00B83890" w:rsidRPr="008F09DA" w:rsidTr="006E6DC8">
        <w:trPr>
          <w:cantSplit/>
          <w:trHeight w:val="255"/>
        </w:trPr>
        <w:tc>
          <w:tcPr>
            <w:tcW w:w="6521" w:type="dxa"/>
            <w:vAlign w:val="center"/>
          </w:tcPr>
          <w:p w:rsidR="00B83890" w:rsidRPr="008F09DA" w:rsidRDefault="00B83890" w:rsidP="004B1BAA">
            <w:pPr>
              <w:pStyle w:val="Heading4"/>
              <w:rPr>
                <w:lang w:val="en-GB"/>
              </w:rPr>
            </w:pPr>
            <w:r w:rsidRPr="008F09DA">
              <w:rPr>
                <w:lang w:val="en-GB"/>
              </w:rPr>
              <w:t>12(a)</w:t>
            </w:r>
            <w:r w:rsidRPr="008F09DA">
              <w:rPr>
                <w:lang w:val="en-GB"/>
              </w:rPr>
              <w:tab/>
              <w:t>Employee Benefits and related on-costs</w:t>
            </w:r>
          </w:p>
        </w:tc>
        <w:tc>
          <w:tcPr>
            <w:tcW w:w="1559" w:type="dxa"/>
            <w:vAlign w:val="center"/>
          </w:tcPr>
          <w:p w:rsidR="00B83890" w:rsidRPr="008F09DA" w:rsidRDefault="00B83890" w:rsidP="004B1BAA">
            <w:pPr>
              <w:pStyle w:val="Heading4"/>
              <w:rPr>
                <w:lang w:val="en-GB"/>
              </w:rPr>
            </w:pPr>
          </w:p>
        </w:tc>
        <w:tc>
          <w:tcPr>
            <w:tcW w:w="1134" w:type="dxa"/>
            <w:vAlign w:val="center"/>
          </w:tcPr>
          <w:p w:rsidR="00B83890" w:rsidRPr="008F09DA" w:rsidRDefault="00B83890" w:rsidP="004B1BAA">
            <w:pPr>
              <w:pStyle w:val="Heading4"/>
              <w:rPr>
                <w:lang w:val="en-GB"/>
              </w:rPr>
            </w:pPr>
          </w:p>
        </w:tc>
      </w:tr>
      <w:tr w:rsidR="00B83890" w:rsidRPr="008F09DA" w:rsidTr="006E6DC8">
        <w:trPr>
          <w:cantSplit/>
          <w:trHeight w:val="255"/>
        </w:trPr>
        <w:tc>
          <w:tcPr>
            <w:tcW w:w="6521" w:type="dxa"/>
            <w:vAlign w:val="center"/>
          </w:tcPr>
          <w:p w:rsidR="00B83890" w:rsidRPr="008F09DA" w:rsidRDefault="00B83890" w:rsidP="006E6DC8">
            <w:pPr>
              <w:ind w:left="720"/>
              <w:rPr>
                <w:i/>
                <w:color w:val="000000"/>
                <w:lang w:val="en-GB"/>
              </w:rPr>
            </w:pPr>
            <w:r w:rsidRPr="008F09DA">
              <w:rPr>
                <w:b/>
                <w:color w:val="000000"/>
                <w:lang w:val="en-GB"/>
              </w:rPr>
              <w:t>Current Employee Benefits</w:t>
            </w:r>
          </w:p>
        </w:tc>
        <w:tc>
          <w:tcPr>
            <w:tcW w:w="1559" w:type="dxa"/>
            <w:vAlign w:val="center"/>
          </w:tcPr>
          <w:p w:rsidR="00B83890" w:rsidRPr="008F09DA" w:rsidRDefault="00B83890" w:rsidP="006E6DC8">
            <w:pPr>
              <w:jc w:val="right"/>
              <w:rPr>
                <w:color w:val="000000"/>
                <w:lang w:val="en-GB"/>
              </w:rPr>
            </w:pPr>
          </w:p>
        </w:tc>
        <w:tc>
          <w:tcPr>
            <w:tcW w:w="1134" w:type="dxa"/>
            <w:vAlign w:val="center"/>
          </w:tcPr>
          <w:p w:rsidR="00B83890" w:rsidRPr="008F09DA" w:rsidRDefault="00B83890" w:rsidP="006E6DC8">
            <w:pPr>
              <w:jc w:val="right"/>
              <w:rPr>
                <w:color w:val="000000"/>
                <w:lang w:val="en-GB"/>
              </w:rPr>
            </w:pPr>
          </w:p>
        </w:tc>
      </w:tr>
      <w:tr w:rsidR="00B83890" w:rsidRPr="008F09DA" w:rsidTr="006E6DC8">
        <w:trPr>
          <w:cantSplit/>
          <w:trHeight w:val="255"/>
        </w:trPr>
        <w:tc>
          <w:tcPr>
            <w:tcW w:w="6521" w:type="dxa"/>
            <w:vAlign w:val="center"/>
          </w:tcPr>
          <w:p w:rsidR="00B83890" w:rsidRPr="008F09DA" w:rsidRDefault="00B83890" w:rsidP="006E6DC8">
            <w:pPr>
              <w:ind w:left="720"/>
              <w:rPr>
                <w:color w:val="000000"/>
                <w:lang w:val="en-GB"/>
              </w:rPr>
            </w:pPr>
            <w:r w:rsidRPr="008F09DA">
              <w:rPr>
                <w:color w:val="000000"/>
                <w:lang w:val="en-GB"/>
              </w:rPr>
              <w:t>Annual Leav</w:t>
            </w:r>
            <w:r>
              <w:rPr>
                <w:color w:val="000000"/>
                <w:lang w:val="en-GB"/>
              </w:rPr>
              <w:t>e</w:t>
            </w:r>
          </w:p>
        </w:tc>
        <w:tc>
          <w:tcPr>
            <w:tcW w:w="1559" w:type="dxa"/>
            <w:vAlign w:val="center"/>
          </w:tcPr>
          <w:p w:rsidR="00B83890" w:rsidRPr="008F09DA" w:rsidRDefault="00B83890" w:rsidP="006E6DC8">
            <w:pPr>
              <w:jc w:val="right"/>
              <w:rPr>
                <w:color w:val="000000"/>
                <w:lang w:val="en-GB"/>
              </w:rPr>
            </w:pPr>
            <w:r>
              <w:rPr>
                <w:color w:val="000000"/>
                <w:lang w:val="en-GB"/>
              </w:rPr>
              <w:t>2,764</w:t>
            </w:r>
          </w:p>
        </w:tc>
        <w:tc>
          <w:tcPr>
            <w:tcW w:w="1134" w:type="dxa"/>
            <w:vAlign w:val="center"/>
          </w:tcPr>
          <w:p w:rsidR="00B83890" w:rsidRPr="008F09DA" w:rsidRDefault="00B83890" w:rsidP="006E6DC8">
            <w:pPr>
              <w:jc w:val="right"/>
              <w:rPr>
                <w:color w:val="000000"/>
                <w:lang w:val="en-GB"/>
              </w:rPr>
            </w:pPr>
            <w:r>
              <w:rPr>
                <w:color w:val="000000"/>
                <w:lang w:val="en-GB"/>
              </w:rPr>
              <w:t>2,600</w:t>
            </w:r>
          </w:p>
        </w:tc>
      </w:tr>
      <w:tr w:rsidR="00B83890" w:rsidRPr="008F09DA" w:rsidTr="006E6DC8">
        <w:trPr>
          <w:cantSplit/>
          <w:trHeight w:val="255"/>
        </w:trPr>
        <w:tc>
          <w:tcPr>
            <w:tcW w:w="6521" w:type="dxa"/>
            <w:tcBorders>
              <w:bottom w:val="single" w:sz="4" w:space="0" w:color="auto"/>
            </w:tcBorders>
            <w:vAlign w:val="center"/>
          </w:tcPr>
          <w:p w:rsidR="00B83890" w:rsidRPr="008F09DA" w:rsidRDefault="00B83890" w:rsidP="006E6DC8">
            <w:pPr>
              <w:ind w:left="720"/>
              <w:rPr>
                <w:color w:val="000000"/>
                <w:lang w:val="en-GB"/>
              </w:rPr>
            </w:pPr>
            <w:r w:rsidRPr="008F09DA">
              <w:rPr>
                <w:color w:val="000000"/>
                <w:lang w:val="en-GB"/>
              </w:rPr>
              <w:t>Long Service Leave entitlements</w:t>
            </w:r>
          </w:p>
        </w:tc>
        <w:tc>
          <w:tcPr>
            <w:tcW w:w="1559" w:type="dxa"/>
            <w:tcBorders>
              <w:bottom w:val="single" w:sz="4" w:space="0" w:color="auto"/>
            </w:tcBorders>
            <w:vAlign w:val="center"/>
          </w:tcPr>
          <w:p w:rsidR="00B83890" w:rsidRPr="008F09DA" w:rsidRDefault="00B83890" w:rsidP="006E6DC8">
            <w:pPr>
              <w:jc w:val="right"/>
              <w:rPr>
                <w:color w:val="000000"/>
                <w:lang w:val="en-GB"/>
              </w:rPr>
            </w:pPr>
            <w:r>
              <w:rPr>
                <w:color w:val="000000"/>
                <w:lang w:val="en-GB"/>
              </w:rPr>
              <w:t>4,584</w:t>
            </w:r>
          </w:p>
        </w:tc>
        <w:tc>
          <w:tcPr>
            <w:tcW w:w="1134" w:type="dxa"/>
            <w:tcBorders>
              <w:bottom w:val="single" w:sz="4" w:space="0" w:color="auto"/>
            </w:tcBorders>
            <w:vAlign w:val="center"/>
          </w:tcPr>
          <w:p w:rsidR="00B83890" w:rsidRPr="008F09DA" w:rsidRDefault="00B83890" w:rsidP="006E6DC8">
            <w:pPr>
              <w:jc w:val="right"/>
              <w:rPr>
                <w:color w:val="000000"/>
                <w:lang w:val="en-GB"/>
              </w:rPr>
            </w:pPr>
            <w:r>
              <w:rPr>
                <w:color w:val="000000"/>
                <w:lang w:val="en-GB"/>
              </w:rPr>
              <w:t>4,395</w:t>
            </w:r>
          </w:p>
        </w:tc>
      </w:tr>
      <w:tr w:rsidR="00B83890" w:rsidRPr="008F09DA" w:rsidTr="006E6DC8">
        <w:trPr>
          <w:cantSplit/>
          <w:trHeight w:val="255"/>
        </w:trPr>
        <w:tc>
          <w:tcPr>
            <w:tcW w:w="6521" w:type="dxa"/>
            <w:vAlign w:val="center"/>
          </w:tcPr>
          <w:p w:rsidR="00B83890" w:rsidRPr="008F09DA" w:rsidRDefault="00B83890" w:rsidP="006E6DC8">
            <w:pPr>
              <w:rPr>
                <w:b/>
                <w:color w:val="000000"/>
                <w:lang w:val="en-GB"/>
              </w:rPr>
            </w:pPr>
            <w:r w:rsidRPr="008F09DA">
              <w:rPr>
                <w:b/>
                <w:color w:val="000000"/>
                <w:lang w:val="en-GB"/>
              </w:rPr>
              <w:tab/>
              <w:t>Non-Current Employee Benefits</w:t>
            </w:r>
          </w:p>
        </w:tc>
        <w:tc>
          <w:tcPr>
            <w:tcW w:w="1559" w:type="dxa"/>
            <w:vAlign w:val="center"/>
          </w:tcPr>
          <w:p w:rsidR="00B83890" w:rsidRPr="008F09DA" w:rsidRDefault="00B83890" w:rsidP="006E6DC8">
            <w:pPr>
              <w:jc w:val="right"/>
              <w:rPr>
                <w:color w:val="000000"/>
                <w:lang w:val="en-GB"/>
              </w:rPr>
            </w:pPr>
          </w:p>
        </w:tc>
        <w:tc>
          <w:tcPr>
            <w:tcW w:w="1134" w:type="dxa"/>
            <w:vAlign w:val="center"/>
          </w:tcPr>
          <w:p w:rsidR="00B83890" w:rsidRPr="008F09DA" w:rsidRDefault="00B83890" w:rsidP="006E6DC8">
            <w:pPr>
              <w:jc w:val="right"/>
              <w:rPr>
                <w:color w:val="000000"/>
                <w:lang w:val="en-GB"/>
              </w:rPr>
            </w:pPr>
          </w:p>
        </w:tc>
      </w:tr>
      <w:tr w:rsidR="00B83890" w:rsidRPr="008F09DA" w:rsidTr="006E6DC8">
        <w:trPr>
          <w:cantSplit/>
          <w:trHeight w:val="255"/>
        </w:trPr>
        <w:tc>
          <w:tcPr>
            <w:tcW w:w="6521" w:type="dxa"/>
            <w:vAlign w:val="center"/>
          </w:tcPr>
          <w:p w:rsidR="00B83890" w:rsidRPr="008F09DA" w:rsidRDefault="00B83890" w:rsidP="006E6DC8">
            <w:pPr>
              <w:ind w:left="720"/>
              <w:rPr>
                <w:color w:val="000000"/>
                <w:lang w:val="en-GB"/>
              </w:rPr>
            </w:pPr>
            <w:r w:rsidRPr="008F09DA">
              <w:rPr>
                <w:color w:val="000000"/>
                <w:lang w:val="en-GB"/>
              </w:rPr>
              <w:t>Long Service Leave entitlements</w:t>
            </w:r>
          </w:p>
        </w:tc>
        <w:tc>
          <w:tcPr>
            <w:tcW w:w="1559" w:type="dxa"/>
            <w:vAlign w:val="center"/>
          </w:tcPr>
          <w:p w:rsidR="00B83890" w:rsidRPr="008F09DA" w:rsidRDefault="00B83890" w:rsidP="006E6DC8">
            <w:pPr>
              <w:jc w:val="right"/>
              <w:rPr>
                <w:color w:val="000000"/>
                <w:lang w:val="en-GB"/>
              </w:rPr>
            </w:pPr>
            <w:r>
              <w:rPr>
                <w:color w:val="000000"/>
                <w:lang w:val="en-GB"/>
              </w:rPr>
              <w:t>687</w:t>
            </w:r>
          </w:p>
        </w:tc>
        <w:tc>
          <w:tcPr>
            <w:tcW w:w="1134" w:type="dxa"/>
            <w:vAlign w:val="center"/>
          </w:tcPr>
          <w:p w:rsidR="00B83890" w:rsidRPr="008F09DA" w:rsidRDefault="00B83890" w:rsidP="006E6DC8">
            <w:pPr>
              <w:jc w:val="right"/>
              <w:rPr>
                <w:color w:val="000000"/>
                <w:lang w:val="en-GB"/>
              </w:rPr>
            </w:pPr>
            <w:r>
              <w:rPr>
                <w:color w:val="000000"/>
                <w:lang w:val="en-GB"/>
              </w:rPr>
              <w:t>446</w:t>
            </w:r>
          </w:p>
        </w:tc>
      </w:tr>
      <w:tr w:rsidR="00B83890" w:rsidRPr="008F09DA" w:rsidTr="006E6DC8">
        <w:trPr>
          <w:cantSplit/>
          <w:trHeight w:val="206"/>
        </w:trPr>
        <w:tc>
          <w:tcPr>
            <w:tcW w:w="6521" w:type="dxa"/>
            <w:tcBorders>
              <w:top w:val="single" w:sz="4" w:space="0" w:color="auto"/>
              <w:bottom w:val="single" w:sz="4" w:space="0" w:color="auto"/>
            </w:tcBorders>
          </w:tcPr>
          <w:p w:rsidR="00B83890" w:rsidRPr="008F09DA" w:rsidRDefault="00B83890" w:rsidP="006E6DC8">
            <w:pPr>
              <w:ind w:firstLine="678"/>
              <w:rPr>
                <w:rFonts w:cs="Arial"/>
                <w:b/>
              </w:rPr>
            </w:pPr>
            <w:r w:rsidRPr="008F09DA">
              <w:rPr>
                <w:rFonts w:cs="Arial"/>
                <w:b/>
              </w:rPr>
              <w:t xml:space="preserve"> Total Employee Benefits</w:t>
            </w:r>
          </w:p>
        </w:tc>
        <w:tc>
          <w:tcPr>
            <w:tcW w:w="1559" w:type="dxa"/>
            <w:tcBorders>
              <w:top w:val="single" w:sz="4" w:space="0" w:color="auto"/>
              <w:bottom w:val="single" w:sz="4" w:space="0" w:color="auto"/>
            </w:tcBorders>
          </w:tcPr>
          <w:p w:rsidR="00B83890" w:rsidRPr="008F09DA" w:rsidRDefault="00B83890" w:rsidP="006E6DC8">
            <w:pPr>
              <w:jc w:val="right"/>
              <w:rPr>
                <w:b/>
                <w:color w:val="000000"/>
                <w:lang w:val="en-GB"/>
              </w:rPr>
            </w:pPr>
            <w:r>
              <w:rPr>
                <w:b/>
                <w:color w:val="000000"/>
                <w:lang w:val="en-GB"/>
              </w:rPr>
              <w:t>8,035</w:t>
            </w:r>
          </w:p>
        </w:tc>
        <w:tc>
          <w:tcPr>
            <w:tcW w:w="1134" w:type="dxa"/>
            <w:tcBorders>
              <w:top w:val="single" w:sz="4" w:space="0" w:color="auto"/>
              <w:bottom w:val="single" w:sz="4" w:space="0" w:color="auto"/>
            </w:tcBorders>
          </w:tcPr>
          <w:p w:rsidR="00B83890" w:rsidRPr="008F09DA" w:rsidRDefault="00B83890" w:rsidP="006E6DC8">
            <w:pPr>
              <w:jc w:val="right"/>
              <w:rPr>
                <w:b/>
                <w:color w:val="000000"/>
                <w:lang w:val="en-GB"/>
              </w:rPr>
            </w:pPr>
            <w:r>
              <w:rPr>
                <w:b/>
                <w:color w:val="000000"/>
                <w:lang w:val="en-GB"/>
              </w:rPr>
              <w:t>7,441</w:t>
            </w:r>
          </w:p>
        </w:tc>
      </w:tr>
      <w:tr w:rsidR="00B83890" w:rsidRPr="008F09DA" w:rsidTr="006E6DC8">
        <w:trPr>
          <w:cantSplit/>
          <w:trHeight w:val="206"/>
        </w:trPr>
        <w:tc>
          <w:tcPr>
            <w:tcW w:w="6521" w:type="dxa"/>
            <w:tcBorders>
              <w:top w:val="single" w:sz="4" w:space="0" w:color="auto"/>
            </w:tcBorders>
          </w:tcPr>
          <w:p w:rsidR="00B83890" w:rsidRPr="008F09DA" w:rsidRDefault="00B83890" w:rsidP="006E6DC8">
            <w:pPr>
              <w:ind w:firstLine="678"/>
              <w:rPr>
                <w:rFonts w:cs="Arial"/>
              </w:rPr>
            </w:pPr>
            <w:r w:rsidRPr="008F09DA">
              <w:rPr>
                <w:rFonts w:cs="Arial"/>
              </w:rPr>
              <w:t xml:space="preserve"> Current on-costs</w:t>
            </w:r>
          </w:p>
        </w:tc>
        <w:tc>
          <w:tcPr>
            <w:tcW w:w="1559" w:type="dxa"/>
            <w:tcBorders>
              <w:top w:val="single" w:sz="4" w:space="0" w:color="auto"/>
            </w:tcBorders>
          </w:tcPr>
          <w:p w:rsidR="00B83890" w:rsidRPr="008F09DA" w:rsidRDefault="00B83890" w:rsidP="006E6DC8">
            <w:pPr>
              <w:jc w:val="right"/>
              <w:rPr>
                <w:color w:val="000000"/>
                <w:lang w:val="en-GB"/>
              </w:rPr>
            </w:pPr>
            <w:r>
              <w:rPr>
                <w:color w:val="000000"/>
                <w:lang w:val="en-GB"/>
              </w:rPr>
              <w:t>1,135</w:t>
            </w:r>
          </w:p>
        </w:tc>
        <w:tc>
          <w:tcPr>
            <w:tcW w:w="1134" w:type="dxa"/>
            <w:tcBorders>
              <w:top w:val="single" w:sz="4" w:space="0" w:color="auto"/>
            </w:tcBorders>
          </w:tcPr>
          <w:p w:rsidR="00B83890" w:rsidRPr="008F09DA" w:rsidRDefault="00B83890" w:rsidP="006E6DC8">
            <w:pPr>
              <w:jc w:val="right"/>
              <w:rPr>
                <w:color w:val="000000"/>
                <w:lang w:val="en-GB"/>
              </w:rPr>
            </w:pPr>
            <w:r>
              <w:rPr>
                <w:color w:val="000000"/>
                <w:lang w:val="en-GB"/>
              </w:rPr>
              <w:t>1,063</w:t>
            </w:r>
          </w:p>
        </w:tc>
      </w:tr>
      <w:tr w:rsidR="00B83890" w:rsidRPr="008F09DA" w:rsidTr="006E6DC8">
        <w:trPr>
          <w:cantSplit/>
          <w:trHeight w:val="206"/>
        </w:trPr>
        <w:tc>
          <w:tcPr>
            <w:tcW w:w="6521" w:type="dxa"/>
            <w:tcBorders>
              <w:bottom w:val="single" w:sz="4" w:space="0" w:color="auto"/>
            </w:tcBorders>
          </w:tcPr>
          <w:p w:rsidR="00B83890" w:rsidRPr="008F09DA" w:rsidRDefault="00B83890" w:rsidP="006E6DC8">
            <w:pPr>
              <w:ind w:firstLine="678"/>
              <w:rPr>
                <w:rFonts w:cs="Arial"/>
              </w:rPr>
            </w:pPr>
            <w:r w:rsidRPr="008F09DA">
              <w:rPr>
                <w:rFonts w:cs="Arial"/>
              </w:rPr>
              <w:t xml:space="preserve"> Non-current on-costs</w:t>
            </w:r>
          </w:p>
        </w:tc>
        <w:tc>
          <w:tcPr>
            <w:tcW w:w="1559" w:type="dxa"/>
            <w:tcBorders>
              <w:bottom w:val="single" w:sz="4" w:space="0" w:color="auto"/>
            </w:tcBorders>
          </w:tcPr>
          <w:p w:rsidR="00B83890" w:rsidRPr="008F09DA" w:rsidRDefault="00B83890" w:rsidP="006E6DC8">
            <w:pPr>
              <w:jc w:val="right"/>
              <w:rPr>
                <w:color w:val="000000"/>
                <w:lang w:val="en-GB"/>
              </w:rPr>
            </w:pPr>
            <w:r>
              <w:rPr>
                <w:color w:val="000000"/>
                <w:lang w:val="en-GB"/>
              </w:rPr>
              <w:t>106</w:t>
            </w:r>
          </w:p>
        </w:tc>
        <w:tc>
          <w:tcPr>
            <w:tcW w:w="1134" w:type="dxa"/>
            <w:tcBorders>
              <w:bottom w:val="single" w:sz="4" w:space="0" w:color="auto"/>
            </w:tcBorders>
          </w:tcPr>
          <w:p w:rsidR="00B83890" w:rsidRPr="008F09DA" w:rsidRDefault="00B83890" w:rsidP="006E6DC8">
            <w:pPr>
              <w:jc w:val="right"/>
              <w:rPr>
                <w:color w:val="000000"/>
                <w:lang w:val="en-GB"/>
              </w:rPr>
            </w:pPr>
            <w:r>
              <w:rPr>
                <w:color w:val="000000"/>
                <w:lang w:val="en-GB"/>
              </w:rPr>
              <w:t>68</w:t>
            </w:r>
          </w:p>
        </w:tc>
      </w:tr>
      <w:tr w:rsidR="00B83890" w:rsidRPr="008F09DA" w:rsidTr="006E6DC8">
        <w:trPr>
          <w:cantSplit/>
          <w:trHeight w:val="206"/>
        </w:trPr>
        <w:tc>
          <w:tcPr>
            <w:tcW w:w="6521" w:type="dxa"/>
            <w:tcBorders>
              <w:top w:val="single" w:sz="4" w:space="0" w:color="auto"/>
              <w:bottom w:val="single" w:sz="4" w:space="0" w:color="auto"/>
            </w:tcBorders>
          </w:tcPr>
          <w:p w:rsidR="00B83890" w:rsidRPr="008F09DA" w:rsidRDefault="00B83890" w:rsidP="006E6DC8">
            <w:pPr>
              <w:ind w:firstLine="678"/>
              <w:rPr>
                <w:rFonts w:cs="Arial"/>
                <w:b/>
              </w:rPr>
            </w:pPr>
            <w:r w:rsidRPr="008F09DA">
              <w:rPr>
                <w:rFonts w:cs="Arial"/>
                <w:b/>
              </w:rPr>
              <w:t xml:space="preserve"> Total on-costs</w:t>
            </w:r>
          </w:p>
        </w:tc>
        <w:tc>
          <w:tcPr>
            <w:tcW w:w="1559" w:type="dxa"/>
            <w:tcBorders>
              <w:top w:val="single" w:sz="4" w:space="0" w:color="auto"/>
              <w:bottom w:val="single" w:sz="4" w:space="0" w:color="auto"/>
            </w:tcBorders>
          </w:tcPr>
          <w:p w:rsidR="00B83890" w:rsidRPr="008F09DA" w:rsidRDefault="00B83890" w:rsidP="006E6DC8">
            <w:pPr>
              <w:jc w:val="right"/>
              <w:rPr>
                <w:b/>
                <w:color w:val="000000"/>
                <w:lang w:val="en-GB"/>
              </w:rPr>
            </w:pPr>
            <w:r>
              <w:rPr>
                <w:b/>
                <w:color w:val="000000"/>
                <w:lang w:val="en-GB"/>
              </w:rPr>
              <w:t>1,241</w:t>
            </w:r>
          </w:p>
        </w:tc>
        <w:tc>
          <w:tcPr>
            <w:tcW w:w="1134" w:type="dxa"/>
            <w:tcBorders>
              <w:top w:val="single" w:sz="4" w:space="0" w:color="auto"/>
              <w:bottom w:val="single" w:sz="4" w:space="0" w:color="auto"/>
            </w:tcBorders>
          </w:tcPr>
          <w:p w:rsidR="00B83890" w:rsidRPr="008F09DA" w:rsidRDefault="00B83890" w:rsidP="006E6DC8">
            <w:pPr>
              <w:jc w:val="right"/>
              <w:rPr>
                <w:b/>
                <w:color w:val="000000"/>
                <w:lang w:val="en-GB"/>
              </w:rPr>
            </w:pPr>
            <w:r>
              <w:rPr>
                <w:b/>
                <w:color w:val="000000"/>
                <w:lang w:val="en-GB"/>
              </w:rPr>
              <w:t>1,131</w:t>
            </w:r>
          </w:p>
        </w:tc>
      </w:tr>
      <w:tr w:rsidR="00B83890" w:rsidTr="006E6DC8">
        <w:trPr>
          <w:cantSplit/>
          <w:trHeight w:val="391"/>
        </w:trPr>
        <w:tc>
          <w:tcPr>
            <w:tcW w:w="6521" w:type="dxa"/>
            <w:tcBorders>
              <w:top w:val="single" w:sz="4" w:space="0" w:color="auto"/>
              <w:bottom w:val="double" w:sz="6" w:space="0" w:color="000000"/>
            </w:tcBorders>
            <w:vAlign w:val="bottom"/>
          </w:tcPr>
          <w:p w:rsidR="00B83890" w:rsidRPr="008F09DA" w:rsidRDefault="00B83890" w:rsidP="006E6DC8">
            <w:pPr>
              <w:rPr>
                <w:color w:val="000000"/>
                <w:lang w:val="en-GB"/>
              </w:rPr>
            </w:pPr>
            <w:r w:rsidRPr="008F09DA">
              <w:rPr>
                <w:b/>
                <w:color w:val="000000"/>
                <w:lang w:val="en-GB"/>
              </w:rPr>
              <w:t>TOTAL EMPLOYEE BENEFITS AND RELATED ON</w:t>
            </w:r>
            <w:r>
              <w:rPr>
                <w:b/>
                <w:color w:val="000000"/>
                <w:lang w:val="en-GB"/>
              </w:rPr>
              <w:t>-</w:t>
            </w:r>
            <w:r w:rsidRPr="008F09DA">
              <w:rPr>
                <w:b/>
                <w:color w:val="000000"/>
                <w:lang w:val="en-GB"/>
              </w:rPr>
              <w:t>COSTS</w:t>
            </w:r>
            <w:r w:rsidRPr="008F09DA">
              <w:rPr>
                <w:b/>
                <w:lang w:val="en-GB"/>
              </w:rPr>
              <w:t xml:space="preserve"> – Refer </w:t>
            </w:r>
            <w:r w:rsidRPr="00E45DD1">
              <w:rPr>
                <w:b/>
                <w:lang w:val="en-GB"/>
              </w:rPr>
              <w:t>Note 1 (h)</w:t>
            </w:r>
          </w:p>
        </w:tc>
        <w:tc>
          <w:tcPr>
            <w:tcW w:w="1559" w:type="dxa"/>
            <w:tcBorders>
              <w:top w:val="single" w:sz="4" w:space="0" w:color="auto"/>
              <w:bottom w:val="double" w:sz="6" w:space="0" w:color="000000"/>
            </w:tcBorders>
            <w:vAlign w:val="bottom"/>
          </w:tcPr>
          <w:p w:rsidR="00B83890" w:rsidRPr="008F09DA" w:rsidRDefault="00B83890" w:rsidP="006E6DC8">
            <w:pPr>
              <w:jc w:val="right"/>
              <w:rPr>
                <w:b/>
                <w:color w:val="000000"/>
                <w:lang w:val="en-GB"/>
              </w:rPr>
            </w:pPr>
            <w:r>
              <w:rPr>
                <w:b/>
                <w:color w:val="000000"/>
                <w:lang w:val="en-GB"/>
              </w:rPr>
              <w:t>9,276</w:t>
            </w:r>
          </w:p>
        </w:tc>
        <w:tc>
          <w:tcPr>
            <w:tcW w:w="1134" w:type="dxa"/>
            <w:tcBorders>
              <w:top w:val="single" w:sz="4" w:space="0" w:color="auto"/>
              <w:bottom w:val="double" w:sz="6" w:space="0" w:color="000000"/>
            </w:tcBorders>
            <w:vAlign w:val="bottom"/>
          </w:tcPr>
          <w:p w:rsidR="00B83890" w:rsidRDefault="00B83890" w:rsidP="006E6DC8">
            <w:pPr>
              <w:jc w:val="right"/>
              <w:rPr>
                <w:b/>
                <w:color w:val="000000"/>
                <w:lang w:val="en-GB"/>
              </w:rPr>
            </w:pPr>
            <w:r>
              <w:rPr>
                <w:b/>
                <w:color w:val="000000"/>
                <w:lang w:val="en-GB"/>
              </w:rPr>
              <w:t>8,572</w:t>
            </w:r>
          </w:p>
        </w:tc>
      </w:tr>
    </w:tbl>
    <w:p w:rsidR="00B83890" w:rsidRPr="00E04575" w:rsidRDefault="00B83890" w:rsidP="00B83890">
      <w:pPr>
        <w:rPr>
          <w:rFonts w:cs="Arial"/>
          <w:i/>
        </w:rPr>
      </w:pPr>
      <w:r w:rsidRPr="00E04575">
        <w:rPr>
          <w:rFonts w:cs="Arial"/>
          <w:i/>
        </w:rPr>
        <w:t>** The amounts disclosed are nominal amounts.</w:t>
      </w:r>
    </w:p>
    <w:p w:rsidR="00B83890" w:rsidRPr="00E04575" w:rsidRDefault="00B83890" w:rsidP="00B83890">
      <w:pPr>
        <w:rPr>
          <w:rFonts w:cs="Arial"/>
          <w:i/>
        </w:rPr>
      </w:pPr>
      <w:r w:rsidRPr="00E04575">
        <w:rPr>
          <w:rFonts w:cs="Arial"/>
          <w:i/>
        </w:rPr>
        <w:t>*** The amounts disclosed are discounted to present values.</w:t>
      </w:r>
    </w:p>
    <w:p w:rsidR="00B83890" w:rsidRDefault="00B83890" w:rsidP="00B83890"/>
    <w:p w:rsidR="00B83890" w:rsidRDefault="00B83890" w:rsidP="00B83890">
      <w:r>
        <w:br w:type="page"/>
      </w:r>
    </w:p>
    <w:p w:rsidR="00B83890" w:rsidRPr="00D605F7" w:rsidRDefault="00B83890" w:rsidP="00513943">
      <w:pPr>
        <w:pStyle w:val="Heading3"/>
      </w:pPr>
      <w:r w:rsidRPr="00D605F7">
        <w:lastRenderedPageBreak/>
        <w:t>1</w:t>
      </w:r>
      <w:r>
        <w:t>3</w:t>
      </w:r>
      <w:r w:rsidRPr="00D605F7">
        <w:t xml:space="preserve">. </w:t>
      </w:r>
      <w:r w:rsidR="00513943">
        <w:tab/>
      </w:r>
      <w:r w:rsidRPr="00D605F7">
        <w:t>EQUITY</w:t>
      </w:r>
    </w:p>
    <w:tbl>
      <w:tblPr>
        <w:tblW w:w="9268" w:type="dxa"/>
        <w:tblInd w:w="-23" w:type="dxa"/>
        <w:tblLayout w:type="fixed"/>
        <w:tblCellMar>
          <w:left w:w="31" w:type="dxa"/>
          <w:right w:w="31" w:type="dxa"/>
        </w:tblCellMar>
        <w:tblLook w:val="0000" w:firstRow="0" w:lastRow="0" w:firstColumn="0" w:lastColumn="0" w:noHBand="0" w:noVBand="0"/>
        <w:tblCaption w:val="Equity: Contributed Capital"/>
        <w:tblDescription w:val="This table shows Contributed Capital for 2012–13 with comparison to 2011–12."/>
      </w:tblPr>
      <w:tblGrid>
        <w:gridCol w:w="23"/>
        <w:gridCol w:w="4839"/>
        <w:gridCol w:w="1413"/>
        <w:gridCol w:w="1556"/>
        <w:gridCol w:w="1414"/>
        <w:gridCol w:w="23"/>
      </w:tblGrid>
      <w:tr w:rsidR="00B83890" w:rsidTr="006E6DC8">
        <w:trPr>
          <w:gridBefore w:val="1"/>
          <w:wBefore w:w="23" w:type="dxa"/>
          <w:cantSplit/>
          <w:trHeight w:val="255"/>
        </w:trPr>
        <w:tc>
          <w:tcPr>
            <w:tcW w:w="4851" w:type="dxa"/>
            <w:vAlign w:val="center"/>
          </w:tcPr>
          <w:p w:rsidR="00B83890" w:rsidRDefault="00B83890" w:rsidP="006E6DC8">
            <w:pPr>
              <w:ind w:left="720"/>
              <w:rPr>
                <w:color w:val="000000"/>
                <w:lang w:val="en-GB"/>
              </w:rPr>
            </w:pPr>
          </w:p>
        </w:tc>
        <w:tc>
          <w:tcPr>
            <w:tcW w:w="2977" w:type="dxa"/>
            <w:gridSpan w:val="2"/>
          </w:tcPr>
          <w:p w:rsidR="00B83890" w:rsidRDefault="00B83890" w:rsidP="006E6DC8">
            <w:pPr>
              <w:jc w:val="right"/>
              <w:rPr>
                <w:b/>
                <w:i/>
                <w:sz w:val="18"/>
                <w:lang w:val="en-GB"/>
              </w:rPr>
            </w:pPr>
            <w:r>
              <w:rPr>
                <w:b/>
                <w:lang w:val="en-GB"/>
              </w:rPr>
              <w:t>2013</w:t>
            </w:r>
          </w:p>
        </w:tc>
        <w:tc>
          <w:tcPr>
            <w:tcW w:w="1417" w:type="dxa"/>
            <w:gridSpan w:val="2"/>
          </w:tcPr>
          <w:p w:rsidR="00B83890" w:rsidRDefault="00B83890" w:rsidP="006E6DC8">
            <w:pPr>
              <w:jc w:val="right"/>
              <w:rPr>
                <w:b/>
                <w:i/>
                <w:sz w:val="18"/>
                <w:lang w:val="en-GB"/>
              </w:rPr>
            </w:pPr>
            <w:r>
              <w:rPr>
                <w:b/>
                <w:lang w:val="en-GB"/>
              </w:rPr>
              <w:t>2012</w:t>
            </w:r>
          </w:p>
        </w:tc>
      </w:tr>
      <w:tr w:rsidR="00B83890" w:rsidTr="006E6DC8">
        <w:trPr>
          <w:gridBefore w:val="1"/>
          <w:wBefore w:w="23" w:type="dxa"/>
          <w:cantSplit/>
          <w:trHeight w:val="255"/>
        </w:trPr>
        <w:tc>
          <w:tcPr>
            <w:tcW w:w="4851" w:type="dxa"/>
            <w:vAlign w:val="center"/>
          </w:tcPr>
          <w:p w:rsidR="00B83890" w:rsidRDefault="00B83890" w:rsidP="006E6DC8">
            <w:pPr>
              <w:ind w:left="720"/>
              <w:rPr>
                <w:color w:val="000000"/>
                <w:lang w:val="en-GB"/>
              </w:rPr>
            </w:pPr>
          </w:p>
        </w:tc>
        <w:tc>
          <w:tcPr>
            <w:tcW w:w="2977" w:type="dxa"/>
            <w:gridSpan w:val="2"/>
            <w:vAlign w:val="center"/>
          </w:tcPr>
          <w:p w:rsidR="00B83890" w:rsidRDefault="00B83890" w:rsidP="006E6DC8">
            <w:pPr>
              <w:jc w:val="right"/>
              <w:rPr>
                <w:b/>
                <w:lang w:val="en-GB"/>
              </w:rPr>
            </w:pPr>
            <w:r>
              <w:rPr>
                <w:b/>
                <w:lang w:val="en-GB"/>
              </w:rPr>
              <w:t>$’000</w:t>
            </w:r>
          </w:p>
        </w:tc>
        <w:tc>
          <w:tcPr>
            <w:tcW w:w="1417" w:type="dxa"/>
            <w:gridSpan w:val="2"/>
            <w:vAlign w:val="center"/>
          </w:tcPr>
          <w:p w:rsidR="00B83890" w:rsidRDefault="00B83890" w:rsidP="006E6DC8">
            <w:pPr>
              <w:jc w:val="right"/>
              <w:rPr>
                <w:b/>
                <w:lang w:val="en-GB"/>
              </w:rPr>
            </w:pPr>
            <w:r>
              <w:rPr>
                <w:b/>
                <w:lang w:val="en-GB"/>
              </w:rPr>
              <w:t>$’000</w:t>
            </w:r>
          </w:p>
        </w:tc>
      </w:tr>
      <w:tr w:rsidR="00B83890" w:rsidRPr="0054002F" w:rsidTr="0099724A">
        <w:tblPrEx>
          <w:tblCellMar>
            <w:left w:w="54" w:type="dxa"/>
            <w:right w:w="54" w:type="dxa"/>
          </w:tblCellMar>
        </w:tblPrEx>
        <w:trPr>
          <w:gridAfter w:val="1"/>
          <w:wAfter w:w="23" w:type="dxa"/>
          <w:cantSplit/>
          <w:trHeight w:hRule="exact" w:val="621"/>
        </w:trPr>
        <w:tc>
          <w:tcPr>
            <w:tcW w:w="6291" w:type="dxa"/>
            <w:gridSpan w:val="3"/>
            <w:vAlign w:val="center"/>
          </w:tcPr>
          <w:p w:rsidR="00B83890" w:rsidRPr="0054002F" w:rsidRDefault="00B83890" w:rsidP="004B1BAA">
            <w:pPr>
              <w:pStyle w:val="Heading4"/>
            </w:pPr>
            <w:r w:rsidRPr="0054002F">
              <w:t>1</w:t>
            </w:r>
            <w:r>
              <w:t>3</w:t>
            </w:r>
            <w:r w:rsidRPr="0054002F">
              <w:t>(a) CONTRIBUTED CAPITAL*</w:t>
            </w:r>
          </w:p>
        </w:tc>
        <w:tc>
          <w:tcPr>
            <w:tcW w:w="1560" w:type="dxa"/>
            <w:vAlign w:val="center"/>
          </w:tcPr>
          <w:p w:rsidR="00B83890" w:rsidRPr="0054002F" w:rsidRDefault="00B83890" w:rsidP="004B1BAA">
            <w:pPr>
              <w:pStyle w:val="Heading4"/>
            </w:pPr>
          </w:p>
        </w:tc>
        <w:tc>
          <w:tcPr>
            <w:tcW w:w="1417" w:type="dxa"/>
            <w:vAlign w:val="center"/>
          </w:tcPr>
          <w:p w:rsidR="00B83890" w:rsidRPr="0054002F" w:rsidRDefault="00B83890" w:rsidP="004B1BAA">
            <w:pPr>
              <w:pStyle w:val="Heading4"/>
            </w:pPr>
          </w:p>
        </w:tc>
      </w:tr>
      <w:tr w:rsidR="00B83890" w:rsidRPr="0054002F" w:rsidTr="006E6DC8">
        <w:tblPrEx>
          <w:tblCellMar>
            <w:left w:w="54" w:type="dxa"/>
            <w:right w:w="54" w:type="dxa"/>
          </w:tblCellMar>
        </w:tblPrEx>
        <w:trPr>
          <w:gridAfter w:val="1"/>
          <w:wAfter w:w="23" w:type="dxa"/>
          <w:cantSplit/>
          <w:trHeight w:hRule="exact" w:val="255"/>
        </w:trPr>
        <w:tc>
          <w:tcPr>
            <w:tcW w:w="6291" w:type="dxa"/>
            <w:gridSpan w:val="3"/>
            <w:vAlign w:val="center"/>
          </w:tcPr>
          <w:p w:rsidR="00B83890" w:rsidRPr="0054002F" w:rsidRDefault="00B83890" w:rsidP="006E6DC8">
            <w:r w:rsidRPr="0054002F">
              <w:t>Balance at beginning of year</w:t>
            </w:r>
          </w:p>
        </w:tc>
        <w:tc>
          <w:tcPr>
            <w:tcW w:w="1560" w:type="dxa"/>
            <w:vAlign w:val="center"/>
          </w:tcPr>
          <w:p w:rsidR="00B83890" w:rsidRPr="0054002F" w:rsidRDefault="00B83890" w:rsidP="006E6DC8">
            <w:pPr>
              <w:jc w:val="right"/>
            </w:pPr>
            <w:r>
              <w:t>581,370</w:t>
            </w:r>
          </w:p>
        </w:tc>
        <w:tc>
          <w:tcPr>
            <w:tcW w:w="1417" w:type="dxa"/>
            <w:vAlign w:val="center"/>
          </w:tcPr>
          <w:p w:rsidR="00B83890" w:rsidRPr="0054002F" w:rsidRDefault="00B83890" w:rsidP="006E6DC8">
            <w:pPr>
              <w:jc w:val="right"/>
            </w:pPr>
            <w:r>
              <w:t>581,370</w:t>
            </w:r>
          </w:p>
        </w:tc>
      </w:tr>
      <w:tr w:rsidR="00B83890" w:rsidRPr="0054002F" w:rsidTr="006E6DC8">
        <w:tblPrEx>
          <w:tblCellMar>
            <w:left w:w="54" w:type="dxa"/>
            <w:right w:w="54" w:type="dxa"/>
          </w:tblCellMar>
        </w:tblPrEx>
        <w:trPr>
          <w:gridAfter w:val="1"/>
          <w:wAfter w:w="23" w:type="dxa"/>
          <w:cantSplit/>
          <w:trHeight w:hRule="exact" w:val="396"/>
        </w:trPr>
        <w:tc>
          <w:tcPr>
            <w:tcW w:w="6291" w:type="dxa"/>
            <w:gridSpan w:val="3"/>
            <w:tcBorders>
              <w:top w:val="single" w:sz="4" w:space="0" w:color="auto"/>
              <w:bottom w:val="double" w:sz="6" w:space="0" w:color="auto"/>
            </w:tcBorders>
            <w:vAlign w:val="bottom"/>
          </w:tcPr>
          <w:p w:rsidR="00B83890" w:rsidRPr="0054002F" w:rsidRDefault="00B83890" w:rsidP="006E6DC8">
            <w:pPr>
              <w:pStyle w:val="total"/>
              <w:rPr>
                <w:sz w:val="20"/>
              </w:rPr>
            </w:pPr>
            <w:r w:rsidRPr="0054002F">
              <w:rPr>
                <w:sz w:val="20"/>
              </w:rPr>
              <w:t>Balance at End of Year</w:t>
            </w:r>
          </w:p>
        </w:tc>
        <w:tc>
          <w:tcPr>
            <w:tcW w:w="1560" w:type="dxa"/>
            <w:tcBorders>
              <w:top w:val="single" w:sz="4" w:space="0" w:color="auto"/>
              <w:bottom w:val="double" w:sz="6" w:space="0" w:color="auto"/>
            </w:tcBorders>
            <w:vAlign w:val="bottom"/>
          </w:tcPr>
          <w:p w:rsidR="00B83890" w:rsidRPr="0054002F" w:rsidRDefault="00B83890" w:rsidP="006E6DC8">
            <w:pPr>
              <w:jc w:val="right"/>
              <w:rPr>
                <w:b/>
              </w:rPr>
            </w:pPr>
            <w:r>
              <w:rPr>
                <w:b/>
              </w:rPr>
              <w:t>581,370</w:t>
            </w:r>
          </w:p>
        </w:tc>
        <w:tc>
          <w:tcPr>
            <w:tcW w:w="1417" w:type="dxa"/>
            <w:tcBorders>
              <w:top w:val="single" w:sz="4" w:space="0" w:color="auto"/>
              <w:bottom w:val="double" w:sz="6" w:space="0" w:color="auto"/>
            </w:tcBorders>
            <w:vAlign w:val="bottom"/>
          </w:tcPr>
          <w:p w:rsidR="00B83890" w:rsidRPr="0054002F" w:rsidRDefault="00B83890" w:rsidP="006E6DC8">
            <w:pPr>
              <w:jc w:val="right"/>
              <w:rPr>
                <w:b/>
              </w:rPr>
            </w:pPr>
            <w:r>
              <w:rPr>
                <w:b/>
              </w:rPr>
              <w:t>581,370</w:t>
            </w:r>
          </w:p>
        </w:tc>
      </w:tr>
    </w:tbl>
    <w:p w:rsidR="00B83890" w:rsidRDefault="00B83890" w:rsidP="00B83890"/>
    <w:tbl>
      <w:tblPr>
        <w:tblW w:w="9268" w:type="dxa"/>
        <w:tblLayout w:type="fixed"/>
        <w:tblCellMar>
          <w:left w:w="54" w:type="dxa"/>
          <w:right w:w="54" w:type="dxa"/>
        </w:tblCellMar>
        <w:tblLook w:val="0000" w:firstRow="0" w:lastRow="0" w:firstColumn="0" w:lastColumn="0" w:noHBand="0" w:noVBand="0"/>
        <w:tblCaption w:val="Equity: Accumulated Deficit"/>
        <w:tblDescription w:val="This table shows Accumulated Deficit for 2012–13 with comparison to 2011–12."/>
      </w:tblPr>
      <w:tblGrid>
        <w:gridCol w:w="6252"/>
        <w:gridCol w:w="1552"/>
        <w:gridCol w:w="1410"/>
        <w:gridCol w:w="54"/>
      </w:tblGrid>
      <w:tr w:rsidR="00B83890" w:rsidTr="00C427A6">
        <w:trPr>
          <w:trHeight w:hRule="exact" w:val="742"/>
        </w:trPr>
        <w:tc>
          <w:tcPr>
            <w:tcW w:w="6291" w:type="dxa"/>
            <w:vAlign w:val="center"/>
          </w:tcPr>
          <w:p w:rsidR="00B83890" w:rsidRDefault="00B83890" w:rsidP="004B1BAA">
            <w:pPr>
              <w:pStyle w:val="Heading4"/>
              <w:rPr>
                <w:i/>
              </w:rPr>
            </w:pPr>
            <w:r>
              <w:t>13(b) ACCUMULATED DEFICIT</w:t>
            </w:r>
          </w:p>
        </w:tc>
        <w:tc>
          <w:tcPr>
            <w:tcW w:w="1560" w:type="dxa"/>
            <w:vAlign w:val="center"/>
          </w:tcPr>
          <w:p w:rsidR="00B83890" w:rsidRDefault="00B83890" w:rsidP="004B1BAA">
            <w:pPr>
              <w:pStyle w:val="Heading4"/>
              <w:rPr>
                <w:lang w:val="en-GB"/>
              </w:rPr>
            </w:pPr>
          </w:p>
        </w:tc>
        <w:tc>
          <w:tcPr>
            <w:tcW w:w="1417" w:type="dxa"/>
            <w:gridSpan w:val="2"/>
            <w:vAlign w:val="center"/>
          </w:tcPr>
          <w:p w:rsidR="00B83890" w:rsidRDefault="00B83890" w:rsidP="004B1BAA">
            <w:pPr>
              <w:pStyle w:val="Heading4"/>
              <w:rPr>
                <w:lang w:val="en-GB"/>
              </w:rPr>
            </w:pPr>
          </w:p>
        </w:tc>
      </w:tr>
      <w:tr w:rsidR="00B83890" w:rsidTr="00C427A6">
        <w:trPr>
          <w:trHeight w:hRule="exact" w:val="255"/>
        </w:trPr>
        <w:tc>
          <w:tcPr>
            <w:tcW w:w="6291" w:type="dxa"/>
            <w:vAlign w:val="center"/>
          </w:tcPr>
          <w:p w:rsidR="00B83890" w:rsidRDefault="00B83890" w:rsidP="006E6DC8">
            <w:pPr>
              <w:ind w:left="720"/>
            </w:pPr>
            <w:r>
              <w:t>Balance at beginning of year</w:t>
            </w:r>
          </w:p>
        </w:tc>
        <w:tc>
          <w:tcPr>
            <w:tcW w:w="1560" w:type="dxa"/>
            <w:vAlign w:val="center"/>
          </w:tcPr>
          <w:p w:rsidR="00B83890" w:rsidRDefault="00B83890" w:rsidP="006E6DC8">
            <w:pPr>
              <w:jc w:val="right"/>
              <w:rPr>
                <w:color w:val="000000"/>
                <w:lang w:val="en-GB"/>
              </w:rPr>
            </w:pPr>
            <w:r>
              <w:rPr>
                <w:color w:val="000000"/>
                <w:lang w:val="en-GB"/>
              </w:rPr>
              <w:t>(95,987)</w:t>
            </w:r>
          </w:p>
        </w:tc>
        <w:tc>
          <w:tcPr>
            <w:tcW w:w="1417" w:type="dxa"/>
            <w:gridSpan w:val="2"/>
            <w:vAlign w:val="center"/>
          </w:tcPr>
          <w:p w:rsidR="00B83890" w:rsidRDefault="00B83890" w:rsidP="006E6DC8">
            <w:pPr>
              <w:jc w:val="right"/>
              <w:rPr>
                <w:color w:val="000000"/>
                <w:lang w:val="en-GB"/>
              </w:rPr>
            </w:pPr>
            <w:r>
              <w:rPr>
                <w:color w:val="000000"/>
                <w:lang w:val="en-GB"/>
              </w:rPr>
              <w:t>(82,991)</w:t>
            </w:r>
          </w:p>
        </w:tc>
      </w:tr>
      <w:tr w:rsidR="00B83890" w:rsidTr="00C427A6">
        <w:trPr>
          <w:trHeight w:hRule="exact" w:val="290"/>
        </w:trPr>
        <w:tc>
          <w:tcPr>
            <w:tcW w:w="6291" w:type="dxa"/>
            <w:vAlign w:val="center"/>
          </w:tcPr>
          <w:p w:rsidR="00B83890" w:rsidRPr="006035E4" w:rsidRDefault="00B83890" w:rsidP="006E6DC8">
            <w:pPr>
              <w:pStyle w:val="Heading5"/>
              <w:spacing w:before="0"/>
              <w:ind w:left="720"/>
            </w:pPr>
            <w:r w:rsidRPr="006035E4">
              <w:t xml:space="preserve">Net result </w:t>
            </w:r>
          </w:p>
        </w:tc>
        <w:tc>
          <w:tcPr>
            <w:tcW w:w="1560" w:type="dxa"/>
            <w:vAlign w:val="center"/>
          </w:tcPr>
          <w:p w:rsidR="00B83890" w:rsidRDefault="00B83890" w:rsidP="006E6DC8">
            <w:pPr>
              <w:jc w:val="right"/>
              <w:rPr>
                <w:color w:val="000000"/>
                <w:lang w:val="en-GB"/>
              </w:rPr>
            </w:pPr>
            <w:r>
              <w:rPr>
                <w:color w:val="000000"/>
                <w:lang w:val="en-GB"/>
              </w:rPr>
              <w:t>(18,271)</w:t>
            </w:r>
          </w:p>
        </w:tc>
        <w:tc>
          <w:tcPr>
            <w:tcW w:w="1417" w:type="dxa"/>
            <w:gridSpan w:val="2"/>
            <w:vAlign w:val="center"/>
          </w:tcPr>
          <w:p w:rsidR="00B83890" w:rsidRDefault="00B83890" w:rsidP="006E6DC8">
            <w:pPr>
              <w:jc w:val="right"/>
              <w:rPr>
                <w:color w:val="000000"/>
                <w:lang w:val="en-GB"/>
              </w:rPr>
            </w:pPr>
            <w:r>
              <w:rPr>
                <w:color w:val="000000"/>
                <w:lang w:val="en-GB"/>
              </w:rPr>
              <w:t>(12,603)</w:t>
            </w:r>
          </w:p>
        </w:tc>
      </w:tr>
      <w:tr w:rsidR="00B83890" w:rsidTr="00C427A6">
        <w:trPr>
          <w:trHeight w:hRule="exact" w:val="423"/>
        </w:trPr>
        <w:tc>
          <w:tcPr>
            <w:tcW w:w="6291" w:type="dxa"/>
            <w:vAlign w:val="center"/>
          </w:tcPr>
          <w:p w:rsidR="00B83890" w:rsidRPr="006035E4" w:rsidRDefault="00B83890" w:rsidP="006E6DC8">
            <w:pPr>
              <w:pStyle w:val="Heading5"/>
              <w:spacing w:before="0"/>
              <w:ind w:left="720"/>
            </w:pPr>
            <w:r w:rsidRPr="006035E4">
              <w:t>Transfers to Reserves</w:t>
            </w:r>
          </w:p>
        </w:tc>
        <w:tc>
          <w:tcPr>
            <w:tcW w:w="1560" w:type="dxa"/>
            <w:vAlign w:val="center"/>
          </w:tcPr>
          <w:p w:rsidR="00B83890" w:rsidRDefault="00B83890" w:rsidP="006E6DC8">
            <w:pPr>
              <w:jc w:val="right"/>
              <w:rPr>
                <w:color w:val="000000"/>
                <w:lang w:val="en-GB"/>
              </w:rPr>
            </w:pPr>
          </w:p>
        </w:tc>
        <w:tc>
          <w:tcPr>
            <w:tcW w:w="1417" w:type="dxa"/>
            <w:gridSpan w:val="2"/>
            <w:vAlign w:val="center"/>
          </w:tcPr>
          <w:p w:rsidR="00B83890" w:rsidRDefault="00B83890" w:rsidP="006E6DC8">
            <w:pPr>
              <w:jc w:val="right"/>
              <w:rPr>
                <w:color w:val="000000"/>
                <w:lang w:val="en-GB"/>
              </w:rPr>
            </w:pPr>
          </w:p>
        </w:tc>
      </w:tr>
      <w:tr w:rsidR="00B83890" w:rsidTr="00C427A6">
        <w:tblPrEx>
          <w:tblCellMar>
            <w:left w:w="108" w:type="dxa"/>
            <w:right w:w="108" w:type="dxa"/>
          </w:tblCellMar>
        </w:tblPrEx>
        <w:trPr>
          <w:gridAfter w:val="1"/>
          <w:wAfter w:w="54" w:type="dxa"/>
          <w:trHeight w:hRule="exact" w:val="255"/>
        </w:trPr>
        <w:tc>
          <w:tcPr>
            <w:tcW w:w="6291" w:type="dxa"/>
          </w:tcPr>
          <w:p w:rsidR="00B83890" w:rsidRDefault="00B83890" w:rsidP="006E6DC8">
            <w:pPr>
              <w:ind w:left="720"/>
            </w:pPr>
            <w:r>
              <w:t>Transfer (to)/from Trust Funds</w:t>
            </w:r>
          </w:p>
        </w:tc>
        <w:tc>
          <w:tcPr>
            <w:tcW w:w="1560" w:type="dxa"/>
          </w:tcPr>
          <w:p w:rsidR="00B83890" w:rsidRDefault="00B83890" w:rsidP="006E6DC8">
            <w:pPr>
              <w:jc w:val="right"/>
              <w:rPr>
                <w:color w:val="000000"/>
                <w:lang w:val="en-GB"/>
              </w:rPr>
            </w:pPr>
            <w:r>
              <w:rPr>
                <w:color w:val="000000"/>
                <w:lang w:val="en-GB"/>
              </w:rPr>
              <w:tab/>
              <w:t>628</w:t>
            </w:r>
          </w:p>
        </w:tc>
        <w:tc>
          <w:tcPr>
            <w:tcW w:w="1417" w:type="dxa"/>
          </w:tcPr>
          <w:p w:rsidR="00B83890" w:rsidRDefault="00B83890" w:rsidP="006E6DC8">
            <w:pPr>
              <w:tabs>
                <w:tab w:val="center" w:pos="672"/>
                <w:tab w:val="right" w:pos="1344"/>
              </w:tabs>
              <w:jc w:val="right"/>
              <w:rPr>
                <w:color w:val="000000"/>
                <w:lang w:val="en-GB"/>
              </w:rPr>
            </w:pPr>
            <w:r>
              <w:rPr>
                <w:color w:val="000000"/>
                <w:lang w:val="en-GB"/>
              </w:rPr>
              <w:t xml:space="preserve"> </w:t>
            </w:r>
            <w:r>
              <w:rPr>
                <w:color w:val="000000"/>
                <w:lang w:val="en-GB"/>
              </w:rPr>
              <w:tab/>
              <w:t>(1,177)</w:t>
            </w:r>
          </w:p>
        </w:tc>
      </w:tr>
      <w:tr w:rsidR="00B83890" w:rsidRPr="00723BBB" w:rsidTr="00C427A6">
        <w:tblPrEx>
          <w:tblCellMar>
            <w:left w:w="108" w:type="dxa"/>
            <w:right w:w="108" w:type="dxa"/>
          </w:tblCellMar>
        </w:tblPrEx>
        <w:trPr>
          <w:gridAfter w:val="1"/>
          <w:wAfter w:w="54" w:type="dxa"/>
          <w:trHeight w:hRule="exact" w:val="255"/>
        </w:trPr>
        <w:tc>
          <w:tcPr>
            <w:tcW w:w="6291" w:type="dxa"/>
            <w:tcBorders>
              <w:bottom w:val="single" w:sz="4" w:space="0" w:color="auto"/>
            </w:tcBorders>
          </w:tcPr>
          <w:p w:rsidR="00B83890" w:rsidRDefault="00B83890" w:rsidP="006E6DC8">
            <w:pPr>
              <w:ind w:left="720"/>
            </w:pPr>
            <w:r>
              <w:t xml:space="preserve">Transfer (to)/from Externally Funded Special Projects </w:t>
            </w:r>
          </w:p>
        </w:tc>
        <w:tc>
          <w:tcPr>
            <w:tcW w:w="1560" w:type="dxa"/>
            <w:tcBorders>
              <w:bottom w:val="single" w:sz="4" w:space="0" w:color="auto"/>
            </w:tcBorders>
          </w:tcPr>
          <w:p w:rsidR="00B83890" w:rsidRDefault="00B83890" w:rsidP="006E6DC8">
            <w:pPr>
              <w:jc w:val="right"/>
              <w:rPr>
                <w:lang w:val="en-GB"/>
              </w:rPr>
            </w:pPr>
            <w:r>
              <w:rPr>
                <w:lang w:val="en-GB"/>
              </w:rPr>
              <w:t>(433)</w:t>
            </w:r>
          </w:p>
        </w:tc>
        <w:tc>
          <w:tcPr>
            <w:tcW w:w="1417" w:type="dxa"/>
            <w:tcBorders>
              <w:bottom w:val="single" w:sz="4" w:space="0" w:color="auto"/>
            </w:tcBorders>
          </w:tcPr>
          <w:p w:rsidR="00B83890" w:rsidRDefault="00B83890" w:rsidP="006E6DC8">
            <w:pPr>
              <w:jc w:val="right"/>
              <w:rPr>
                <w:lang w:val="en-GB"/>
              </w:rPr>
            </w:pPr>
            <w:r>
              <w:rPr>
                <w:lang w:val="en-GB"/>
              </w:rPr>
              <w:t>784</w:t>
            </w:r>
          </w:p>
        </w:tc>
      </w:tr>
      <w:tr w:rsidR="00B83890" w:rsidTr="00C427A6">
        <w:trPr>
          <w:trHeight w:hRule="exact" w:val="460"/>
        </w:trPr>
        <w:tc>
          <w:tcPr>
            <w:tcW w:w="6291" w:type="dxa"/>
            <w:tcBorders>
              <w:top w:val="single" w:sz="6" w:space="0" w:color="auto"/>
              <w:bottom w:val="double" w:sz="6" w:space="0" w:color="auto"/>
            </w:tcBorders>
            <w:vAlign w:val="bottom"/>
          </w:tcPr>
          <w:p w:rsidR="00B83890" w:rsidRDefault="00B83890" w:rsidP="006E6DC8">
            <w:pPr>
              <w:pStyle w:val="total"/>
              <w:rPr>
                <w:sz w:val="20"/>
              </w:rPr>
            </w:pPr>
            <w:r>
              <w:rPr>
                <w:sz w:val="20"/>
              </w:rPr>
              <w:t>Balance at End of Year</w:t>
            </w:r>
          </w:p>
        </w:tc>
        <w:tc>
          <w:tcPr>
            <w:tcW w:w="1560" w:type="dxa"/>
            <w:tcBorders>
              <w:top w:val="single" w:sz="6" w:space="0" w:color="auto"/>
              <w:bottom w:val="double" w:sz="6" w:space="0" w:color="auto"/>
            </w:tcBorders>
            <w:vAlign w:val="bottom"/>
          </w:tcPr>
          <w:p w:rsidR="00B83890" w:rsidRDefault="00B83890" w:rsidP="006E6DC8">
            <w:pPr>
              <w:jc w:val="right"/>
              <w:rPr>
                <w:b/>
              </w:rPr>
            </w:pPr>
            <w:r>
              <w:rPr>
                <w:b/>
              </w:rPr>
              <w:t>(114,063)</w:t>
            </w:r>
          </w:p>
        </w:tc>
        <w:tc>
          <w:tcPr>
            <w:tcW w:w="1417" w:type="dxa"/>
            <w:gridSpan w:val="2"/>
            <w:tcBorders>
              <w:top w:val="single" w:sz="6" w:space="0" w:color="auto"/>
              <w:bottom w:val="double" w:sz="6" w:space="0" w:color="auto"/>
            </w:tcBorders>
            <w:vAlign w:val="bottom"/>
          </w:tcPr>
          <w:p w:rsidR="00B83890" w:rsidRDefault="00B83890" w:rsidP="006E6DC8">
            <w:pPr>
              <w:jc w:val="right"/>
              <w:rPr>
                <w:b/>
              </w:rPr>
            </w:pPr>
            <w:r>
              <w:rPr>
                <w:b/>
              </w:rPr>
              <w:t>(95,987)</w:t>
            </w:r>
          </w:p>
        </w:tc>
      </w:tr>
    </w:tbl>
    <w:p w:rsidR="00B83890" w:rsidRDefault="00B83890" w:rsidP="00B83890"/>
    <w:tbl>
      <w:tblPr>
        <w:tblW w:w="9268" w:type="dxa"/>
        <w:tblLayout w:type="fixed"/>
        <w:tblCellMar>
          <w:left w:w="54" w:type="dxa"/>
          <w:right w:w="54" w:type="dxa"/>
        </w:tblCellMar>
        <w:tblLook w:val="0000" w:firstRow="0" w:lastRow="0" w:firstColumn="0" w:lastColumn="0" w:noHBand="0" w:noVBand="0"/>
        <w:tblCaption w:val="Equity: Reserves"/>
        <w:tblDescription w:val="This table shows Reserves for 2012–13 with comparison to 2011–12."/>
      </w:tblPr>
      <w:tblGrid>
        <w:gridCol w:w="6291"/>
        <w:gridCol w:w="1560"/>
        <w:gridCol w:w="1417"/>
      </w:tblGrid>
      <w:tr w:rsidR="00B83890" w:rsidTr="0099724A">
        <w:trPr>
          <w:cantSplit/>
          <w:trHeight w:hRule="exact" w:val="600"/>
        </w:trPr>
        <w:tc>
          <w:tcPr>
            <w:tcW w:w="6291" w:type="dxa"/>
            <w:vAlign w:val="center"/>
          </w:tcPr>
          <w:p w:rsidR="00B83890" w:rsidRDefault="00B83890" w:rsidP="004B1BAA">
            <w:pPr>
              <w:pStyle w:val="Heading4"/>
              <w:rPr>
                <w:i/>
              </w:rPr>
            </w:pPr>
            <w:r>
              <w:t>13(c) RESERVES</w:t>
            </w:r>
          </w:p>
        </w:tc>
        <w:tc>
          <w:tcPr>
            <w:tcW w:w="1560" w:type="dxa"/>
            <w:vAlign w:val="center"/>
          </w:tcPr>
          <w:p w:rsidR="00B83890" w:rsidRDefault="00B83890" w:rsidP="004B1BAA">
            <w:pPr>
              <w:pStyle w:val="Heading4"/>
            </w:pPr>
          </w:p>
        </w:tc>
        <w:tc>
          <w:tcPr>
            <w:tcW w:w="1417" w:type="dxa"/>
            <w:vAlign w:val="center"/>
          </w:tcPr>
          <w:p w:rsidR="00B83890" w:rsidRDefault="00B83890" w:rsidP="004B1BAA">
            <w:pPr>
              <w:pStyle w:val="Heading4"/>
            </w:pPr>
          </w:p>
        </w:tc>
      </w:tr>
      <w:tr w:rsidR="00B83890" w:rsidTr="006E6DC8">
        <w:trPr>
          <w:cantSplit/>
          <w:trHeight w:hRule="exact" w:val="255"/>
        </w:trPr>
        <w:tc>
          <w:tcPr>
            <w:tcW w:w="6291" w:type="dxa"/>
            <w:vAlign w:val="center"/>
          </w:tcPr>
          <w:p w:rsidR="00B83890" w:rsidRDefault="00B83890" w:rsidP="006E6DC8">
            <w:pPr>
              <w:pStyle w:val="Heading3"/>
              <w:rPr>
                <w:i/>
                <w:sz w:val="20"/>
              </w:rPr>
            </w:pPr>
            <w:r>
              <w:rPr>
                <w:sz w:val="20"/>
              </w:rPr>
              <w:t>TRUST FUNDS**</w:t>
            </w:r>
          </w:p>
          <w:p w:rsidR="00B83890" w:rsidRDefault="00B83890" w:rsidP="006E6DC8">
            <w:pPr>
              <w:pStyle w:val="NormalIndent"/>
            </w:pPr>
          </w:p>
          <w:p w:rsidR="00B83890" w:rsidRDefault="00B83890" w:rsidP="006E6DC8">
            <w:pPr>
              <w:pStyle w:val="NormalIndent"/>
            </w:pPr>
          </w:p>
        </w:tc>
        <w:tc>
          <w:tcPr>
            <w:tcW w:w="1560" w:type="dxa"/>
            <w:vAlign w:val="center"/>
          </w:tcPr>
          <w:p w:rsidR="00B83890" w:rsidRDefault="00B83890" w:rsidP="006E6DC8">
            <w:pPr>
              <w:jc w:val="right"/>
              <w:rPr>
                <w:b/>
                <w:lang w:val="en-GB"/>
              </w:rPr>
            </w:pPr>
          </w:p>
        </w:tc>
        <w:tc>
          <w:tcPr>
            <w:tcW w:w="1417" w:type="dxa"/>
            <w:vAlign w:val="center"/>
          </w:tcPr>
          <w:p w:rsidR="00B83890" w:rsidRDefault="00B83890" w:rsidP="006E6DC8">
            <w:pPr>
              <w:jc w:val="right"/>
              <w:rPr>
                <w:b/>
                <w:i/>
                <w:lang w:val="en-GB"/>
              </w:rPr>
            </w:pPr>
          </w:p>
        </w:tc>
      </w:tr>
      <w:tr w:rsidR="00B83890" w:rsidTr="006E6DC8">
        <w:trPr>
          <w:cantSplit/>
          <w:trHeight w:hRule="exact" w:val="255"/>
        </w:trPr>
        <w:tc>
          <w:tcPr>
            <w:tcW w:w="6291" w:type="dxa"/>
            <w:vAlign w:val="center"/>
          </w:tcPr>
          <w:p w:rsidR="00B83890" w:rsidRDefault="00B83890" w:rsidP="006E6DC8">
            <w:pPr>
              <w:ind w:left="720"/>
            </w:pPr>
            <w:r>
              <w:t>Balance at beginning of year</w:t>
            </w:r>
          </w:p>
        </w:tc>
        <w:tc>
          <w:tcPr>
            <w:tcW w:w="1560" w:type="dxa"/>
            <w:vAlign w:val="center"/>
          </w:tcPr>
          <w:p w:rsidR="00B83890" w:rsidRDefault="00B83890" w:rsidP="006E6DC8">
            <w:pPr>
              <w:jc w:val="right"/>
            </w:pPr>
            <w:r>
              <w:t>8,445</w:t>
            </w:r>
          </w:p>
        </w:tc>
        <w:tc>
          <w:tcPr>
            <w:tcW w:w="1417" w:type="dxa"/>
            <w:vAlign w:val="center"/>
          </w:tcPr>
          <w:p w:rsidR="00B83890" w:rsidRDefault="00B83890" w:rsidP="006E6DC8">
            <w:pPr>
              <w:jc w:val="right"/>
            </w:pPr>
            <w:r>
              <w:t>7,268</w:t>
            </w:r>
          </w:p>
        </w:tc>
      </w:tr>
      <w:tr w:rsidR="00B83890" w:rsidTr="006E6DC8">
        <w:trPr>
          <w:cantSplit/>
          <w:trHeight w:hRule="exact" w:val="255"/>
        </w:trPr>
        <w:tc>
          <w:tcPr>
            <w:tcW w:w="6291" w:type="dxa"/>
            <w:vAlign w:val="center"/>
          </w:tcPr>
          <w:p w:rsidR="00B83890" w:rsidRDefault="00B83890" w:rsidP="006E6DC8">
            <w:pPr>
              <w:ind w:left="720"/>
            </w:pPr>
            <w:r>
              <w:t>Transfer (to)/from Accumulated Deficit</w:t>
            </w:r>
          </w:p>
        </w:tc>
        <w:tc>
          <w:tcPr>
            <w:tcW w:w="1560" w:type="dxa"/>
            <w:vAlign w:val="center"/>
          </w:tcPr>
          <w:p w:rsidR="00B83890" w:rsidRDefault="00B83890" w:rsidP="006E6DC8">
            <w:pPr>
              <w:jc w:val="right"/>
            </w:pPr>
            <w:r>
              <w:t>(628)</w:t>
            </w:r>
          </w:p>
        </w:tc>
        <w:tc>
          <w:tcPr>
            <w:tcW w:w="1417" w:type="dxa"/>
            <w:vAlign w:val="center"/>
          </w:tcPr>
          <w:p w:rsidR="00B83890" w:rsidRDefault="00B83890" w:rsidP="006E6DC8">
            <w:pPr>
              <w:jc w:val="right"/>
            </w:pPr>
            <w:r>
              <w:t>1,177</w:t>
            </w:r>
          </w:p>
        </w:tc>
      </w:tr>
      <w:tr w:rsidR="00B83890" w:rsidTr="006E6DC8">
        <w:trPr>
          <w:cantSplit/>
          <w:trHeight w:hRule="exact" w:val="440"/>
        </w:trPr>
        <w:tc>
          <w:tcPr>
            <w:tcW w:w="6291" w:type="dxa"/>
            <w:tcBorders>
              <w:top w:val="single" w:sz="4" w:space="0" w:color="auto"/>
              <w:bottom w:val="double" w:sz="6" w:space="0" w:color="auto"/>
            </w:tcBorders>
            <w:vAlign w:val="bottom"/>
          </w:tcPr>
          <w:p w:rsidR="00B83890" w:rsidRDefault="00B83890" w:rsidP="006E6DC8">
            <w:pPr>
              <w:pStyle w:val="total"/>
              <w:rPr>
                <w:sz w:val="20"/>
              </w:rPr>
            </w:pPr>
            <w:r>
              <w:rPr>
                <w:sz w:val="20"/>
              </w:rPr>
              <w:t>Balance at End of Year</w:t>
            </w:r>
          </w:p>
        </w:tc>
        <w:tc>
          <w:tcPr>
            <w:tcW w:w="1560" w:type="dxa"/>
            <w:tcBorders>
              <w:top w:val="single" w:sz="4" w:space="0" w:color="auto"/>
              <w:bottom w:val="double" w:sz="6" w:space="0" w:color="auto"/>
            </w:tcBorders>
            <w:vAlign w:val="bottom"/>
          </w:tcPr>
          <w:p w:rsidR="00B83890" w:rsidRDefault="00B83890" w:rsidP="006E6DC8">
            <w:pPr>
              <w:jc w:val="right"/>
              <w:rPr>
                <w:b/>
              </w:rPr>
            </w:pPr>
            <w:r>
              <w:rPr>
                <w:b/>
              </w:rPr>
              <w:t>7,817</w:t>
            </w:r>
          </w:p>
        </w:tc>
        <w:tc>
          <w:tcPr>
            <w:tcW w:w="1417" w:type="dxa"/>
            <w:tcBorders>
              <w:top w:val="single" w:sz="4" w:space="0" w:color="auto"/>
              <w:bottom w:val="double" w:sz="6" w:space="0" w:color="auto"/>
            </w:tcBorders>
            <w:vAlign w:val="bottom"/>
          </w:tcPr>
          <w:p w:rsidR="00B83890" w:rsidRDefault="00B83890" w:rsidP="006E6DC8">
            <w:pPr>
              <w:jc w:val="right"/>
              <w:rPr>
                <w:b/>
              </w:rPr>
            </w:pPr>
            <w:r>
              <w:rPr>
                <w:b/>
              </w:rPr>
              <w:t>8,445</w:t>
            </w:r>
          </w:p>
        </w:tc>
      </w:tr>
      <w:tr w:rsidR="00B83890" w:rsidTr="006E6DC8">
        <w:trPr>
          <w:cantSplit/>
          <w:trHeight w:hRule="exact" w:val="255"/>
        </w:trPr>
        <w:tc>
          <w:tcPr>
            <w:tcW w:w="6291" w:type="dxa"/>
            <w:vAlign w:val="center"/>
          </w:tcPr>
          <w:p w:rsidR="00B83890" w:rsidRDefault="00B83890" w:rsidP="006E6DC8">
            <w:pPr>
              <w:pStyle w:val="Heading3"/>
              <w:rPr>
                <w:i/>
                <w:sz w:val="20"/>
              </w:rPr>
            </w:pPr>
          </w:p>
        </w:tc>
        <w:tc>
          <w:tcPr>
            <w:tcW w:w="1560" w:type="dxa"/>
            <w:vAlign w:val="center"/>
          </w:tcPr>
          <w:p w:rsidR="00B83890" w:rsidRDefault="00B83890" w:rsidP="006E6DC8">
            <w:pPr>
              <w:jc w:val="right"/>
              <w:rPr>
                <w:b/>
                <w:lang w:val="en-GB"/>
              </w:rPr>
            </w:pPr>
          </w:p>
        </w:tc>
        <w:tc>
          <w:tcPr>
            <w:tcW w:w="1417" w:type="dxa"/>
            <w:vAlign w:val="center"/>
          </w:tcPr>
          <w:p w:rsidR="00B83890" w:rsidRDefault="00B83890" w:rsidP="006E6DC8">
            <w:pPr>
              <w:jc w:val="right"/>
              <w:rPr>
                <w:b/>
                <w:lang w:val="en-GB"/>
              </w:rPr>
            </w:pPr>
          </w:p>
        </w:tc>
      </w:tr>
      <w:tr w:rsidR="00B83890" w:rsidRPr="006035E4" w:rsidTr="006E6DC8">
        <w:trPr>
          <w:cantSplit/>
          <w:trHeight w:hRule="exact" w:val="527"/>
        </w:trPr>
        <w:tc>
          <w:tcPr>
            <w:tcW w:w="6291" w:type="dxa"/>
            <w:vAlign w:val="center"/>
          </w:tcPr>
          <w:p w:rsidR="00B83890" w:rsidRPr="006035E4" w:rsidRDefault="00B83890" w:rsidP="004B1BAA">
            <w:pPr>
              <w:pStyle w:val="Heading4"/>
            </w:pPr>
            <w:r w:rsidRPr="006035E4">
              <w:t>13(c) RESERVES</w:t>
            </w:r>
          </w:p>
        </w:tc>
        <w:tc>
          <w:tcPr>
            <w:tcW w:w="1560" w:type="dxa"/>
            <w:vAlign w:val="center"/>
          </w:tcPr>
          <w:p w:rsidR="00B83890" w:rsidRPr="006035E4" w:rsidRDefault="00B83890" w:rsidP="004B1BAA">
            <w:pPr>
              <w:pStyle w:val="Heading4"/>
            </w:pPr>
          </w:p>
        </w:tc>
        <w:tc>
          <w:tcPr>
            <w:tcW w:w="1417" w:type="dxa"/>
            <w:vAlign w:val="center"/>
          </w:tcPr>
          <w:p w:rsidR="00B83890" w:rsidRPr="006035E4" w:rsidRDefault="00B83890" w:rsidP="004B1BAA">
            <w:pPr>
              <w:pStyle w:val="Heading4"/>
            </w:pPr>
          </w:p>
        </w:tc>
      </w:tr>
      <w:tr w:rsidR="00B83890" w:rsidRPr="006035E4" w:rsidTr="006E6DC8">
        <w:trPr>
          <w:cantSplit/>
          <w:trHeight w:hRule="exact" w:val="563"/>
        </w:trPr>
        <w:tc>
          <w:tcPr>
            <w:tcW w:w="6291" w:type="dxa"/>
            <w:vAlign w:val="center"/>
          </w:tcPr>
          <w:p w:rsidR="00B83890" w:rsidRPr="006035E4" w:rsidRDefault="00B83890" w:rsidP="006E6DC8">
            <w:pPr>
              <w:pStyle w:val="Heading5"/>
              <w:spacing w:before="0"/>
              <w:rPr>
                <w:b w:val="0"/>
              </w:rPr>
            </w:pPr>
            <w:r w:rsidRPr="006035E4">
              <w:t>EXTERNALLY FUNDED SPECIAL PROJECTS***</w:t>
            </w:r>
          </w:p>
        </w:tc>
        <w:tc>
          <w:tcPr>
            <w:tcW w:w="1560" w:type="dxa"/>
            <w:vAlign w:val="center"/>
          </w:tcPr>
          <w:p w:rsidR="00B83890" w:rsidRPr="006035E4" w:rsidRDefault="00B83890" w:rsidP="006E6DC8">
            <w:pPr>
              <w:jc w:val="right"/>
              <w:rPr>
                <w:b/>
              </w:rPr>
            </w:pPr>
          </w:p>
        </w:tc>
        <w:tc>
          <w:tcPr>
            <w:tcW w:w="1417" w:type="dxa"/>
            <w:vAlign w:val="center"/>
          </w:tcPr>
          <w:p w:rsidR="00B83890" w:rsidRPr="006035E4" w:rsidRDefault="00B83890" w:rsidP="006E6DC8">
            <w:pPr>
              <w:jc w:val="right"/>
              <w:rPr>
                <w:b/>
              </w:rPr>
            </w:pPr>
          </w:p>
        </w:tc>
      </w:tr>
      <w:tr w:rsidR="00B83890" w:rsidRPr="006035E4" w:rsidTr="006E6DC8">
        <w:trPr>
          <w:cantSplit/>
          <w:trHeight w:hRule="exact" w:val="255"/>
        </w:trPr>
        <w:tc>
          <w:tcPr>
            <w:tcW w:w="6291" w:type="dxa"/>
            <w:vAlign w:val="center"/>
          </w:tcPr>
          <w:p w:rsidR="00B83890" w:rsidRPr="006035E4" w:rsidRDefault="00B83890" w:rsidP="006E6DC8">
            <w:pPr>
              <w:ind w:left="720"/>
            </w:pPr>
            <w:r w:rsidRPr="006035E4">
              <w:t>Balance at beginning of year</w:t>
            </w:r>
          </w:p>
        </w:tc>
        <w:tc>
          <w:tcPr>
            <w:tcW w:w="1560" w:type="dxa"/>
            <w:vAlign w:val="center"/>
          </w:tcPr>
          <w:p w:rsidR="00B83890" w:rsidRPr="006035E4" w:rsidRDefault="00B83890" w:rsidP="006E6DC8">
            <w:pPr>
              <w:jc w:val="right"/>
            </w:pPr>
            <w:r w:rsidRPr="006035E4">
              <w:t>7,369</w:t>
            </w:r>
          </w:p>
        </w:tc>
        <w:tc>
          <w:tcPr>
            <w:tcW w:w="1417" w:type="dxa"/>
            <w:vAlign w:val="center"/>
          </w:tcPr>
          <w:p w:rsidR="00B83890" w:rsidRPr="006035E4" w:rsidRDefault="00B83890" w:rsidP="006E6DC8">
            <w:pPr>
              <w:jc w:val="right"/>
            </w:pPr>
            <w:r w:rsidRPr="006035E4">
              <w:t>8,153</w:t>
            </w:r>
          </w:p>
        </w:tc>
      </w:tr>
      <w:tr w:rsidR="00B83890" w:rsidRPr="006035E4" w:rsidTr="006E6DC8">
        <w:trPr>
          <w:cantSplit/>
          <w:trHeight w:hRule="exact" w:val="255"/>
        </w:trPr>
        <w:tc>
          <w:tcPr>
            <w:tcW w:w="6291" w:type="dxa"/>
            <w:vAlign w:val="center"/>
          </w:tcPr>
          <w:p w:rsidR="00B83890" w:rsidRPr="006035E4" w:rsidRDefault="00B83890" w:rsidP="006E6DC8">
            <w:pPr>
              <w:ind w:left="720"/>
            </w:pPr>
            <w:r w:rsidRPr="006035E4">
              <w:t>Transfer (to)/from Accumulated Deficit</w:t>
            </w:r>
          </w:p>
        </w:tc>
        <w:tc>
          <w:tcPr>
            <w:tcW w:w="1560" w:type="dxa"/>
            <w:vAlign w:val="center"/>
          </w:tcPr>
          <w:p w:rsidR="00B83890" w:rsidRPr="006035E4" w:rsidRDefault="00B83890" w:rsidP="006E6DC8">
            <w:pPr>
              <w:jc w:val="right"/>
            </w:pPr>
            <w:r w:rsidRPr="006035E4">
              <w:t>433</w:t>
            </w:r>
          </w:p>
        </w:tc>
        <w:tc>
          <w:tcPr>
            <w:tcW w:w="1417" w:type="dxa"/>
            <w:vAlign w:val="center"/>
          </w:tcPr>
          <w:p w:rsidR="00B83890" w:rsidRPr="006035E4" w:rsidRDefault="00B83890" w:rsidP="006E6DC8">
            <w:pPr>
              <w:jc w:val="right"/>
            </w:pPr>
            <w:r w:rsidRPr="006035E4">
              <w:t>(784)</w:t>
            </w:r>
          </w:p>
        </w:tc>
      </w:tr>
      <w:tr w:rsidR="00B83890" w:rsidRPr="006035E4" w:rsidTr="006E6DC8">
        <w:trPr>
          <w:cantSplit/>
          <w:trHeight w:hRule="exact" w:val="255"/>
        </w:trPr>
        <w:tc>
          <w:tcPr>
            <w:tcW w:w="6291" w:type="dxa"/>
            <w:tcBorders>
              <w:bottom w:val="single" w:sz="4" w:space="0" w:color="auto"/>
            </w:tcBorders>
            <w:vAlign w:val="center"/>
          </w:tcPr>
          <w:p w:rsidR="00B83890" w:rsidRPr="006035E4" w:rsidRDefault="00B83890" w:rsidP="006E6DC8">
            <w:pPr>
              <w:pStyle w:val="total"/>
              <w:spacing w:line="120" w:lineRule="exact"/>
              <w:rPr>
                <w:color w:val="auto"/>
                <w:sz w:val="20"/>
              </w:rPr>
            </w:pPr>
          </w:p>
        </w:tc>
        <w:tc>
          <w:tcPr>
            <w:tcW w:w="1560" w:type="dxa"/>
            <w:tcBorders>
              <w:bottom w:val="single" w:sz="4" w:space="0" w:color="auto"/>
            </w:tcBorders>
            <w:vAlign w:val="center"/>
          </w:tcPr>
          <w:p w:rsidR="00B83890" w:rsidRPr="006035E4" w:rsidRDefault="00B83890" w:rsidP="006E6DC8">
            <w:pPr>
              <w:pStyle w:val="total"/>
              <w:spacing w:line="120" w:lineRule="exact"/>
              <w:jc w:val="right"/>
              <w:rPr>
                <w:color w:val="auto"/>
                <w:sz w:val="20"/>
              </w:rPr>
            </w:pPr>
          </w:p>
        </w:tc>
        <w:tc>
          <w:tcPr>
            <w:tcW w:w="1417" w:type="dxa"/>
            <w:tcBorders>
              <w:bottom w:val="single" w:sz="4" w:space="0" w:color="auto"/>
            </w:tcBorders>
            <w:vAlign w:val="center"/>
          </w:tcPr>
          <w:p w:rsidR="00B83890" w:rsidRPr="006035E4" w:rsidRDefault="00B83890" w:rsidP="006E6DC8">
            <w:pPr>
              <w:pStyle w:val="total"/>
              <w:spacing w:line="120" w:lineRule="exact"/>
              <w:jc w:val="right"/>
              <w:rPr>
                <w:color w:val="auto"/>
                <w:sz w:val="20"/>
              </w:rPr>
            </w:pPr>
          </w:p>
        </w:tc>
      </w:tr>
      <w:tr w:rsidR="00B83890" w:rsidRPr="006035E4" w:rsidTr="006E6DC8">
        <w:trPr>
          <w:cantSplit/>
          <w:trHeight w:hRule="exact" w:val="304"/>
        </w:trPr>
        <w:tc>
          <w:tcPr>
            <w:tcW w:w="6291" w:type="dxa"/>
            <w:tcBorders>
              <w:top w:val="single" w:sz="4" w:space="0" w:color="auto"/>
              <w:bottom w:val="double" w:sz="4" w:space="0" w:color="auto"/>
            </w:tcBorders>
            <w:vAlign w:val="bottom"/>
          </w:tcPr>
          <w:p w:rsidR="00B83890" w:rsidRPr="006035E4" w:rsidRDefault="00B83890" w:rsidP="006E6DC8">
            <w:pPr>
              <w:pStyle w:val="total"/>
              <w:rPr>
                <w:color w:val="auto"/>
                <w:sz w:val="20"/>
              </w:rPr>
            </w:pPr>
            <w:r w:rsidRPr="006035E4">
              <w:rPr>
                <w:color w:val="auto"/>
                <w:sz w:val="20"/>
              </w:rPr>
              <w:t>Balance at End of Year</w:t>
            </w:r>
          </w:p>
        </w:tc>
        <w:tc>
          <w:tcPr>
            <w:tcW w:w="1560" w:type="dxa"/>
            <w:tcBorders>
              <w:top w:val="single" w:sz="4" w:space="0" w:color="auto"/>
              <w:bottom w:val="double" w:sz="4" w:space="0" w:color="auto"/>
            </w:tcBorders>
            <w:vAlign w:val="bottom"/>
          </w:tcPr>
          <w:p w:rsidR="00B83890" w:rsidRPr="006035E4" w:rsidRDefault="00B83890" w:rsidP="006E6DC8">
            <w:pPr>
              <w:jc w:val="right"/>
              <w:rPr>
                <w:b/>
              </w:rPr>
            </w:pPr>
            <w:r w:rsidRPr="006035E4">
              <w:rPr>
                <w:b/>
              </w:rPr>
              <w:t>7,802</w:t>
            </w:r>
          </w:p>
        </w:tc>
        <w:tc>
          <w:tcPr>
            <w:tcW w:w="1417" w:type="dxa"/>
            <w:tcBorders>
              <w:top w:val="single" w:sz="4" w:space="0" w:color="auto"/>
              <w:bottom w:val="double" w:sz="4" w:space="0" w:color="auto"/>
            </w:tcBorders>
            <w:vAlign w:val="bottom"/>
          </w:tcPr>
          <w:p w:rsidR="00B83890" w:rsidRPr="006035E4" w:rsidRDefault="00B83890" w:rsidP="006E6DC8">
            <w:pPr>
              <w:jc w:val="right"/>
              <w:rPr>
                <w:b/>
              </w:rPr>
            </w:pPr>
            <w:r w:rsidRPr="006035E4">
              <w:rPr>
                <w:b/>
              </w:rPr>
              <w:t>7,369</w:t>
            </w:r>
          </w:p>
        </w:tc>
      </w:tr>
    </w:tbl>
    <w:p w:rsidR="00B83890" w:rsidRPr="006035E4" w:rsidRDefault="00B83890" w:rsidP="00B83890"/>
    <w:tbl>
      <w:tblPr>
        <w:tblW w:w="9268" w:type="dxa"/>
        <w:tblLayout w:type="fixed"/>
        <w:tblCellMar>
          <w:left w:w="54" w:type="dxa"/>
          <w:right w:w="54" w:type="dxa"/>
        </w:tblCellMar>
        <w:tblLook w:val="0000" w:firstRow="0" w:lastRow="0" w:firstColumn="0" w:lastColumn="0" w:noHBand="0" w:noVBand="0"/>
        <w:tblCaption w:val="Equity: Physical Asset Revaluation Surplus"/>
        <w:tblDescription w:val="This table shows Physical Asset Revaluation Surplus for 2012–13 with comparison to 2011–12."/>
      </w:tblPr>
      <w:tblGrid>
        <w:gridCol w:w="6291"/>
        <w:gridCol w:w="1560"/>
        <w:gridCol w:w="1417"/>
      </w:tblGrid>
      <w:tr w:rsidR="00B83890" w:rsidRPr="006035E4" w:rsidTr="006E6DC8">
        <w:trPr>
          <w:cantSplit/>
          <w:trHeight w:hRule="exact" w:val="618"/>
        </w:trPr>
        <w:tc>
          <w:tcPr>
            <w:tcW w:w="6291" w:type="dxa"/>
            <w:vAlign w:val="center"/>
          </w:tcPr>
          <w:p w:rsidR="00B83890" w:rsidRPr="006035E4" w:rsidRDefault="00B83890" w:rsidP="006E6DC8">
            <w:pPr>
              <w:pStyle w:val="Heading5"/>
              <w:spacing w:before="0"/>
              <w:rPr>
                <w:b w:val="0"/>
              </w:rPr>
            </w:pPr>
            <w:r w:rsidRPr="006035E4">
              <w:t>PHYSICAL ASSET REVALUATION SURPLUS</w:t>
            </w:r>
          </w:p>
        </w:tc>
        <w:tc>
          <w:tcPr>
            <w:tcW w:w="1560" w:type="dxa"/>
            <w:vAlign w:val="center"/>
          </w:tcPr>
          <w:p w:rsidR="00B83890" w:rsidRPr="006035E4" w:rsidRDefault="00B83890" w:rsidP="006E6DC8">
            <w:pPr>
              <w:jc w:val="right"/>
              <w:rPr>
                <w:b/>
              </w:rPr>
            </w:pPr>
          </w:p>
        </w:tc>
        <w:tc>
          <w:tcPr>
            <w:tcW w:w="1417" w:type="dxa"/>
            <w:vAlign w:val="center"/>
          </w:tcPr>
          <w:p w:rsidR="00B83890" w:rsidRPr="006035E4" w:rsidRDefault="00B83890" w:rsidP="006E6DC8">
            <w:pPr>
              <w:jc w:val="right"/>
              <w:rPr>
                <w:b/>
              </w:rPr>
            </w:pPr>
          </w:p>
        </w:tc>
      </w:tr>
      <w:tr w:rsidR="00B83890" w:rsidTr="006E6DC8">
        <w:trPr>
          <w:cantSplit/>
          <w:trHeight w:hRule="exact" w:val="255"/>
        </w:trPr>
        <w:tc>
          <w:tcPr>
            <w:tcW w:w="6291" w:type="dxa"/>
            <w:vAlign w:val="center"/>
          </w:tcPr>
          <w:p w:rsidR="00B83890" w:rsidRDefault="00B83890" w:rsidP="00751664">
            <w:pPr>
              <w:ind w:left="851"/>
            </w:pPr>
            <w:r>
              <w:t>Balance at beginning of year</w:t>
            </w:r>
          </w:p>
        </w:tc>
        <w:tc>
          <w:tcPr>
            <w:tcW w:w="1560" w:type="dxa"/>
            <w:vAlign w:val="center"/>
          </w:tcPr>
          <w:p w:rsidR="00B83890" w:rsidRDefault="00B83890" w:rsidP="006E6DC8">
            <w:pPr>
              <w:jc w:val="right"/>
            </w:pPr>
            <w:r>
              <w:t>545,888</w:t>
            </w:r>
          </w:p>
        </w:tc>
        <w:tc>
          <w:tcPr>
            <w:tcW w:w="1417" w:type="dxa"/>
            <w:vAlign w:val="center"/>
          </w:tcPr>
          <w:p w:rsidR="00B83890" w:rsidRDefault="00B83890" w:rsidP="006E6DC8">
            <w:pPr>
              <w:jc w:val="right"/>
            </w:pPr>
            <w:r>
              <w:t>545,888</w:t>
            </w:r>
          </w:p>
        </w:tc>
      </w:tr>
      <w:tr w:rsidR="00B83890" w:rsidTr="006E6DC8">
        <w:trPr>
          <w:cantSplit/>
          <w:trHeight w:hRule="exact" w:val="255"/>
        </w:trPr>
        <w:tc>
          <w:tcPr>
            <w:tcW w:w="6291" w:type="dxa"/>
            <w:vAlign w:val="center"/>
          </w:tcPr>
          <w:p w:rsidR="00B83890" w:rsidRDefault="00B83890" w:rsidP="00751664">
            <w:pPr>
              <w:ind w:left="851"/>
            </w:pPr>
            <w:r>
              <w:t>Asset revaluation increases</w:t>
            </w:r>
          </w:p>
        </w:tc>
        <w:tc>
          <w:tcPr>
            <w:tcW w:w="1560" w:type="dxa"/>
            <w:vAlign w:val="center"/>
          </w:tcPr>
          <w:p w:rsidR="00B83890" w:rsidRDefault="00B83890" w:rsidP="006E6DC8">
            <w:pPr>
              <w:jc w:val="right"/>
            </w:pPr>
            <w:r>
              <w:t>0</w:t>
            </w:r>
          </w:p>
        </w:tc>
        <w:tc>
          <w:tcPr>
            <w:tcW w:w="1417" w:type="dxa"/>
            <w:vAlign w:val="center"/>
          </w:tcPr>
          <w:p w:rsidR="00B83890" w:rsidRDefault="00B83890" w:rsidP="006E6DC8">
            <w:pPr>
              <w:jc w:val="right"/>
            </w:pPr>
            <w:r>
              <w:t>0</w:t>
            </w:r>
          </w:p>
        </w:tc>
      </w:tr>
      <w:tr w:rsidR="00B83890" w:rsidTr="006E6DC8">
        <w:trPr>
          <w:cantSplit/>
          <w:trHeight w:hRule="exact" w:val="255"/>
        </w:trPr>
        <w:tc>
          <w:tcPr>
            <w:tcW w:w="6291" w:type="dxa"/>
            <w:vAlign w:val="center"/>
          </w:tcPr>
          <w:p w:rsidR="00B83890" w:rsidRDefault="00B83890" w:rsidP="006E6DC8">
            <w:pPr>
              <w:pStyle w:val="Heading3"/>
              <w:spacing w:line="120" w:lineRule="exact"/>
              <w:ind w:left="720"/>
              <w:rPr>
                <w:i/>
                <w:sz w:val="20"/>
              </w:rPr>
            </w:pPr>
          </w:p>
        </w:tc>
        <w:tc>
          <w:tcPr>
            <w:tcW w:w="1560" w:type="dxa"/>
            <w:vAlign w:val="center"/>
          </w:tcPr>
          <w:p w:rsidR="00B83890" w:rsidRDefault="00B83890" w:rsidP="006E6DC8">
            <w:pPr>
              <w:spacing w:line="120" w:lineRule="exact"/>
              <w:jc w:val="right"/>
            </w:pPr>
          </w:p>
        </w:tc>
        <w:tc>
          <w:tcPr>
            <w:tcW w:w="1417" w:type="dxa"/>
            <w:vAlign w:val="center"/>
          </w:tcPr>
          <w:p w:rsidR="00B83890" w:rsidRDefault="00B83890" w:rsidP="006E6DC8">
            <w:pPr>
              <w:spacing w:line="120" w:lineRule="exact"/>
              <w:jc w:val="right"/>
            </w:pPr>
          </w:p>
        </w:tc>
      </w:tr>
      <w:tr w:rsidR="00B83890" w:rsidRPr="00AA4574" w:rsidTr="006E6DC8">
        <w:trPr>
          <w:cantSplit/>
          <w:trHeight w:hRule="exact" w:val="343"/>
        </w:trPr>
        <w:tc>
          <w:tcPr>
            <w:tcW w:w="6291" w:type="dxa"/>
            <w:tcBorders>
              <w:top w:val="single" w:sz="4" w:space="0" w:color="auto"/>
              <w:bottom w:val="double" w:sz="4" w:space="0" w:color="auto"/>
            </w:tcBorders>
            <w:vAlign w:val="bottom"/>
          </w:tcPr>
          <w:p w:rsidR="00B83890" w:rsidRPr="00576AB3" w:rsidRDefault="00B83890" w:rsidP="006E6DC8">
            <w:pPr>
              <w:pStyle w:val="total"/>
              <w:rPr>
                <w:sz w:val="20"/>
              </w:rPr>
            </w:pPr>
            <w:r w:rsidRPr="00576AB3">
              <w:rPr>
                <w:sz w:val="20"/>
              </w:rPr>
              <w:t>Balance at End of Year</w:t>
            </w:r>
          </w:p>
        </w:tc>
        <w:tc>
          <w:tcPr>
            <w:tcW w:w="1560" w:type="dxa"/>
            <w:tcBorders>
              <w:top w:val="single" w:sz="4" w:space="0" w:color="auto"/>
              <w:bottom w:val="double" w:sz="4" w:space="0" w:color="auto"/>
            </w:tcBorders>
            <w:vAlign w:val="bottom"/>
          </w:tcPr>
          <w:p w:rsidR="00B83890" w:rsidRPr="00576AB3" w:rsidRDefault="00B83890" w:rsidP="006E6DC8">
            <w:pPr>
              <w:jc w:val="right"/>
              <w:rPr>
                <w:b/>
              </w:rPr>
            </w:pPr>
            <w:r>
              <w:rPr>
                <w:b/>
              </w:rPr>
              <w:t>545,888</w:t>
            </w:r>
          </w:p>
        </w:tc>
        <w:tc>
          <w:tcPr>
            <w:tcW w:w="1417" w:type="dxa"/>
            <w:tcBorders>
              <w:top w:val="single" w:sz="4" w:space="0" w:color="auto"/>
              <w:bottom w:val="double" w:sz="4" w:space="0" w:color="auto"/>
            </w:tcBorders>
            <w:vAlign w:val="bottom"/>
          </w:tcPr>
          <w:p w:rsidR="00B83890" w:rsidRPr="00576AB3" w:rsidRDefault="00B83890" w:rsidP="006E6DC8">
            <w:pPr>
              <w:jc w:val="right"/>
              <w:rPr>
                <w:b/>
              </w:rPr>
            </w:pPr>
            <w:r>
              <w:rPr>
                <w:b/>
              </w:rPr>
              <w:t>545,888</w:t>
            </w:r>
          </w:p>
        </w:tc>
      </w:tr>
    </w:tbl>
    <w:p w:rsidR="00B83890" w:rsidRDefault="00B83890" w:rsidP="00B83890">
      <w:pPr>
        <w:pStyle w:val="BodyText3"/>
      </w:pPr>
    </w:p>
    <w:p w:rsidR="00B83890" w:rsidRDefault="00B83890" w:rsidP="00B83890">
      <w:pPr>
        <w:pStyle w:val="BodyText3"/>
      </w:pPr>
      <w:r w:rsidRPr="00881CAB">
        <w:t>*“Contributed Capital” consists of capital funds provided by the Victorian Government for the Melbourne Museum,</w:t>
      </w:r>
      <w:r>
        <w:t xml:space="preserve"> Scienceworks</w:t>
      </w:r>
      <w:r w:rsidRPr="00881CAB">
        <w:t>, Immigration Museum and Royal Exhibition Building. Ministerial approval has been received for the treatment of these amounts as Contributed Capital.</w:t>
      </w:r>
      <w:r>
        <w:t xml:space="preserve"> </w:t>
      </w:r>
    </w:p>
    <w:p w:rsidR="00B83890" w:rsidRDefault="00B83890" w:rsidP="00B83890">
      <w:pPr>
        <w:pStyle w:val="BodyText3"/>
        <w:rPr>
          <w:rFonts w:ascii="Times New Roman" w:hAnsi="Times New Roman"/>
        </w:rPr>
      </w:pPr>
      <w:r>
        <w:t>** “Trust Funds” consist of those funds which may be used by the Museums Board of Victoria for Museum purposes defined by the relevant Trust deed or will.</w:t>
      </w:r>
    </w:p>
    <w:p w:rsidR="00B83890" w:rsidRDefault="00B83890" w:rsidP="00B83890">
      <w:pPr>
        <w:pStyle w:val="BodyText3"/>
      </w:pPr>
      <w:r>
        <w:t>*** “Externally Funded Special Projects” consist of unexpended Government and other grants tied to a specific purpose.</w:t>
      </w:r>
    </w:p>
    <w:p w:rsidR="00B83890" w:rsidRDefault="00B83890" w:rsidP="00B83890">
      <w:pPr>
        <w:pStyle w:val="Heading2"/>
        <w:tabs>
          <w:tab w:val="left" w:pos="354"/>
          <w:tab w:val="left" w:pos="426"/>
        </w:tabs>
        <w:spacing w:before="120"/>
        <w:rPr>
          <w:i/>
          <w:sz w:val="22"/>
          <w:szCs w:val="22"/>
        </w:rPr>
      </w:pPr>
    </w:p>
    <w:p w:rsidR="00B83890" w:rsidRPr="00D605F7" w:rsidRDefault="00B83890" w:rsidP="00513943">
      <w:pPr>
        <w:pStyle w:val="Heading3"/>
        <w:rPr>
          <w:i/>
        </w:rPr>
      </w:pPr>
      <w:r w:rsidRPr="00D605F7">
        <w:t>1</w:t>
      </w:r>
      <w:r>
        <w:t>4</w:t>
      </w:r>
      <w:r w:rsidRPr="00D605F7">
        <w:t>.</w:t>
      </w:r>
      <w:r w:rsidRPr="00D605F7">
        <w:tab/>
        <w:t>CONTINGENT LIABILITIES AND CONTINGENT ASSETS</w:t>
      </w:r>
    </w:p>
    <w:p w:rsidR="00B83890" w:rsidRDefault="00B83890" w:rsidP="0099724A">
      <w:r>
        <w:t>Museum Victoria believes that there are no material contingent liabilities or contingent assets (2011</w:t>
      </w:r>
      <w:r w:rsidRPr="004C6E94">
        <w:t>–</w:t>
      </w:r>
      <w:r>
        <w:t>12: Nil).</w:t>
      </w:r>
    </w:p>
    <w:p w:rsidR="00B83890" w:rsidRDefault="00B83890" w:rsidP="00B83890"/>
    <w:p w:rsidR="00B83890" w:rsidRDefault="00B83890" w:rsidP="00B83890"/>
    <w:p w:rsidR="00B83890" w:rsidRPr="00D605F7" w:rsidRDefault="00B83890" w:rsidP="00513943">
      <w:pPr>
        <w:pStyle w:val="Heading3"/>
        <w:rPr>
          <w:i/>
        </w:rPr>
      </w:pPr>
      <w:r w:rsidRPr="00D605F7">
        <w:t>1</w:t>
      </w:r>
      <w:r>
        <w:t>5</w:t>
      </w:r>
      <w:r w:rsidRPr="00D605F7">
        <w:t xml:space="preserve">. </w:t>
      </w:r>
      <w:r w:rsidR="00513943">
        <w:tab/>
      </w:r>
      <w:r w:rsidRPr="00D605F7">
        <w:t>NOTES TO THE CASH FLOW STATEMENT</w:t>
      </w:r>
    </w:p>
    <w:tbl>
      <w:tblPr>
        <w:tblW w:w="9214" w:type="dxa"/>
        <w:tblInd w:w="30" w:type="dxa"/>
        <w:tblLayout w:type="fixed"/>
        <w:tblCellMar>
          <w:left w:w="30" w:type="dxa"/>
          <w:right w:w="30" w:type="dxa"/>
        </w:tblCellMar>
        <w:tblLook w:val="0000" w:firstRow="0" w:lastRow="0" w:firstColumn="0" w:lastColumn="0" w:noHBand="0" w:noVBand="0"/>
      </w:tblPr>
      <w:tblGrid>
        <w:gridCol w:w="6237"/>
        <w:gridCol w:w="1560"/>
        <w:gridCol w:w="1417"/>
      </w:tblGrid>
      <w:tr w:rsidR="00B83890" w:rsidRPr="006035E4" w:rsidTr="006E6DC8">
        <w:trPr>
          <w:cantSplit/>
          <w:trHeight w:val="255"/>
        </w:trPr>
        <w:tc>
          <w:tcPr>
            <w:tcW w:w="6237" w:type="dxa"/>
            <w:vAlign w:val="center"/>
          </w:tcPr>
          <w:p w:rsidR="00B83890" w:rsidRDefault="00B83890" w:rsidP="006E6DC8">
            <w:pPr>
              <w:rPr>
                <w:lang w:val="en-GB"/>
              </w:rPr>
            </w:pPr>
          </w:p>
        </w:tc>
        <w:tc>
          <w:tcPr>
            <w:tcW w:w="1560" w:type="dxa"/>
            <w:vAlign w:val="center"/>
          </w:tcPr>
          <w:p w:rsidR="00B83890" w:rsidRPr="006035E4" w:rsidRDefault="00B83890" w:rsidP="006E6DC8">
            <w:pPr>
              <w:jc w:val="right"/>
              <w:rPr>
                <w:b/>
                <w:lang w:val="en-GB"/>
              </w:rPr>
            </w:pPr>
            <w:r w:rsidRPr="006035E4">
              <w:rPr>
                <w:b/>
                <w:lang w:val="en-GB"/>
              </w:rPr>
              <w:t>2013</w:t>
            </w:r>
          </w:p>
        </w:tc>
        <w:tc>
          <w:tcPr>
            <w:tcW w:w="1417" w:type="dxa"/>
            <w:vAlign w:val="center"/>
          </w:tcPr>
          <w:p w:rsidR="00B83890" w:rsidRPr="006035E4" w:rsidRDefault="00B83890" w:rsidP="006E6DC8">
            <w:pPr>
              <w:jc w:val="right"/>
              <w:rPr>
                <w:b/>
                <w:lang w:val="en-GB"/>
              </w:rPr>
            </w:pPr>
            <w:r w:rsidRPr="006035E4">
              <w:rPr>
                <w:b/>
                <w:lang w:val="en-GB"/>
              </w:rPr>
              <w:t>2012</w:t>
            </w:r>
          </w:p>
        </w:tc>
      </w:tr>
      <w:tr w:rsidR="00B83890" w:rsidRPr="006035E4" w:rsidTr="006E6DC8">
        <w:trPr>
          <w:cantSplit/>
          <w:trHeight w:val="255"/>
        </w:trPr>
        <w:tc>
          <w:tcPr>
            <w:tcW w:w="6237" w:type="dxa"/>
            <w:vAlign w:val="center"/>
          </w:tcPr>
          <w:p w:rsidR="00B83890" w:rsidRDefault="00B83890" w:rsidP="006E6DC8">
            <w:pPr>
              <w:rPr>
                <w:lang w:val="en-GB"/>
              </w:rPr>
            </w:pPr>
          </w:p>
        </w:tc>
        <w:tc>
          <w:tcPr>
            <w:tcW w:w="1560" w:type="dxa"/>
            <w:vAlign w:val="center"/>
          </w:tcPr>
          <w:p w:rsidR="00B83890" w:rsidRPr="006035E4" w:rsidRDefault="00B83890" w:rsidP="006E6DC8">
            <w:pPr>
              <w:jc w:val="right"/>
              <w:rPr>
                <w:b/>
                <w:lang w:val="en-GB"/>
              </w:rPr>
            </w:pPr>
            <w:r w:rsidRPr="006035E4">
              <w:rPr>
                <w:b/>
                <w:lang w:val="en-GB"/>
              </w:rPr>
              <w:t>$,000</w:t>
            </w:r>
          </w:p>
        </w:tc>
        <w:tc>
          <w:tcPr>
            <w:tcW w:w="1417" w:type="dxa"/>
            <w:vAlign w:val="center"/>
          </w:tcPr>
          <w:p w:rsidR="00B83890" w:rsidRPr="006035E4" w:rsidRDefault="00B83890" w:rsidP="006E6DC8">
            <w:pPr>
              <w:jc w:val="right"/>
              <w:rPr>
                <w:b/>
                <w:lang w:val="en-GB"/>
              </w:rPr>
            </w:pPr>
            <w:r w:rsidRPr="006035E4">
              <w:rPr>
                <w:b/>
                <w:lang w:val="en-GB"/>
              </w:rPr>
              <w:t>$,000</w:t>
            </w:r>
          </w:p>
        </w:tc>
      </w:tr>
    </w:tbl>
    <w:p w:rsidR="00B83890" w:rsidRPr="00D605F7" w:rsidRDefault="00B83890" w:rsidP="004B1BAA">
      <w:pPr>
        <w:pStyle w:val="Heading4"/>
        <w:rPr>
          <w:lang w:val="en-GB"/>
        </w:rPr>
      </w:pPr>
      <w:r w:rsidRPr="00D605F7">
        <w:rPr>
          <w:lang w:val="en-GB"/>
        </w:rPr>
        <w:t>1</w:t>
      </w:r>
      <w:r>
        <w:rPr>
          <w:lang w:val="en-GB"/>
        </w:rPr>
        <w:t>5</w:t>
      </w:r>
      <w:r w:rsidRPr="00D605F7">
        <w:rPr>
          <w:lang w:val="en-GB"/>
        </w:rPr>
        <w:t>(a) Reconciliation of Cash</w:t>
      </w:r>
    </w:p>
    <w:p w:rsidR="00B83890" w:rsidRPr="007D7980" w:rsidRDefault="00B83890" w:rsidP="00B83890">
      <w:pPr>
        <w:spacing w:after="120"/>
      </w:pPr>
      <w:r w:rsidRPr="00EA4233">
        <w:t xml:space="preserve">For the purposes of the </w:t>
      </w:r>
      <w:r>
        <w:t xml:space="preserve">Cash Flow </w:t>
      </w:r>
      <w:r w:rsidRPr="00EA4233">
        <w:t xml:space="preserve">Statement, Museum Victoria considers cash to include cash on hand and in banks. Cash at the end of the reporting period, as shown in the </w:t>
      </w:r>
      <w:r>
        <w:t xml:space="preserve">Cash Flow </w:t>
      </w:r>
      <w:r w:rsidRPr="00EA4233">
        <w:t xml:space="preserve">Statement, is reconciled to the related items in the </w:t>
      </w:r>
      <w:r>
        <w:t xml:space="preserve">Balance Sheet </w:t>
      </w:r>
      <w:r w:rsidRPr="00EA4233">
        <w:t>as follows:</w:t>
      </w:r>
    </w:p>
    <w:tbl>
      <w:tblPr>
        <w:tblW w:w="9214" w:type="dxa"/>
        <w:tblInd w:w="30" w:type="dxa"/>
        <w:tblLayout w:type="fixed"/>
        <w:tblCellMar>
          <w:left w:w="30" w:type="dxa"/>
          <w:right w:w="30" w:type="dxa"/>
        </w:tblCellMar>
        <w:tblLook w:val="0000" w:firstRow="0" w:lastRow="0" w:firstColumn="0" w:lastColumn="0" w:noHBand="0" w:noVBand="0"/>
        <w:tblCaption w:val="Notes to the Cash Flow Statement: Reconciliation of Cash"/>
        <w:tblDescription w:val="This table shows Reconciliation of Cash for 2012–13 with comparison to 2011–12."/>
      </w:tblPr>
      <w:tblGrid>
        <w:gridCol w:w="6237"/>
        <w:gridCol w:w="1560"/>
        <w:gridCol w:w="1417"/>
      </w:tblGrid>
      <w:tr w:rsidR="00B83890" w:rsidRPr="00EA4233" w:rsidTr="006E6DC8">
        <w:trPr>
          <w:cantSplit/>
          <w:trHeight w:val="255"/>
        </w:trPr>
        <w:tc>
          <w:tcPr>
            <w:tcW w:w="6237" w:type="dxa"/>
            <w:vAlign w:val="center"/>
          </w:tcPr>
          <w:p w:rsidR="00B83890" w:rsidRPr="00EA4233" w:rsidRDefault="00B83890" w:rsidP="006E6DC8">
            <w:pPr>
              <w:rPr>
                <w:lang w:val="en-GB"/>
              </w:rPr>
            </w:pPr>
            <w:r>
              <w:rPr>
                <w:lang w:val="en-GB"/>
              </w:rPr>
              <w:tab/>
            </w:r>
            <w:r w:rsidRPr="00EA4233">
              <w:rPr>
                <w:lang w:val="en-GB"/>
              </w:rPr>
              <w:t>Cash</w:t>
            </w:r>
          </w:p>
        </w:tc>
        <w:tc>
          <w:tcPr>
            <w:tcW w:w="1560" w:type="dxa"/>
            <w:vAlign w:val="center"/>
          </w:tcPr>
          <w:p w:rsidR="00B83890" w:rsidRPr="00EA4233" w:rsidRDefault="00B83890" w:rsidP="006E6DC8">
            <w:pPr>
              <w:jc w:val="right"/>
              <w:rPr>
                <w:lang w:val="en-GB"/>
              </w:rPr>
            </w:pPr>
            <w:r>
              <w:rPr>
                <w:lang w:val="en-GB"/>
              </w:rPr>
              <w:t>1,104</w:t>
            </w:r>
          </w:p>
        </w:tc>
        <w:tc>
          <w:tcPr>
            <w:tcW w:w="1417" w:type="dxa"/>
            <w:vAlign w:val="center"/>
          </w:tcPr>
          <w:p w:rsidR="00B83890" w:rsidRPr="00EA4233" w:rsidRDefault="00B83890" w:rsidP="006E6DC8">
            <w:pPr>
              <w:jc w:val="right"/>
              <w:rPr>
                <w:lang w:val="en-GB"/>
              </w:rPr>
            </w:pPr>
            <w:r>
              <w:rPr>
                <w:lang w:val="en-GB"/>
              </w:rPr>
              <w:t>236</w:t>
            </w:r>
          </w:p>
        </w:tc>
      </w:tr>
      <w:tr w:rsidR="00B83890" w:rsidRPr="00EA4233" w:rsidTr="006E6DC8">
        <w:trPr>
          <w:cantSplit/>
          <w:trHeight w:val="255"/>
        </w:trPr>
        <w:tc>
          <w:tcPr>
            <w:tcW w:w="6237" w:type="dxa"/>
            <w:vAlign w:val="center"/>
          </w:tcPr>
          <w:p w:rsidR="00B83890" w:rsidRPr="00EA4233" w:rsidRDefault="00B83890" w:rsidP="006E6DC8">
            <w:pPr>
              <w:spacing w:after="120"/>
              <w:rPr>
                <w:lang w:val="en-GB"/>
              </w:rPr>
            </w:pPr>
            <w:r>
              <w:tab/>
              <w:t>Interest Bearing Deposits</w:t>
            </w:r>
            <w:r w:rsidRPr="00EA4233">
              <w:t xml:space="preserve"> </w:t>
            </w:r>
          </w:p>
        </w:tc>
        <w:tc>
          <w:tcPr>
            <w:tcW w:w="1560" w:type="dxa"/>
            <w:vAlign w:val="center"/>
          </w:tcPr>
          <w:p w:rsidR="00B83890" w:rsidRDefault="00B83890" w:rsidP="006E6DC8">
            <w:pPr>
              <w:spacing w:after="120"/>
              <w:jc w:val="right"/>
              <w:rPr>
                <w:lang w:val="en-GB"/>
              </w:rPr>
            </w:pPr>
            <w:r>
              <w:rPr>
                <w:lang w:val="en-GB"/>
              </w:rPr>
              <w:t>23,294</w:t>
            </w:r>
          </w:p>
        </w:tc>
        <w:tc>
          <w:tcPr>
            <w:tcW w:w="1417" w:type="dxa"/>
            <w:vAlign w:val="center"/>
          </w:tcPr>
          <w:p w:rsidR="00B83890" w:rsidRDefault="00B83890" w:rsidP="006E6DC8">
            <w:pPr>
              <w:spacing w:after="120"/>
              <w:jc w:val="right"/>
              <w:rPr>
                <w:lang w:val="en-GB"/>
              </w:rPr>
            </w:pPr>
            <w:r>
              <w:rPr>
                <w:lang w:val="en-GB"/>
              </w:rPr>
              <w:t>25,569</w:t>
            </w:r>
          </w:p>
        </w:tc>
      </w:tr>
      <w:tr w:rsidR="00B83890" w:rsidRPr="00EA4233" w:rsidTr="006E6DC8">
        <w:trPr>
          <w:cantSplit/>
          <w:trHeight w:val="206"/>
        </w:trPr>
        <w:tc>
          <w:tcPr>
            <w:tcW w:w="6237" w:type="dxa"/>
            <w:tcBorders>
              <w:top w:val="single" w:sz="4" w:space="0" w:color="auto"/>
              <w:bottom w:val="double" w:sz="6" w:space="0" w:color="000000"/>
            </w:tcBorders>
          </w:tcPr>
          <w:p w:rsidR="00B83890" w:rsidRPr="00EA4233" w:rsidRDefault="00B83890" w:rsidP="006E6DC8">
            <w:pPr>
              <w:rPr>
                <w:lang w:val="en-GB"/>
              </w:rPr>
            </w:pPr>
            <w:r w:rsidRPr="00EA4233">
              <w:rPr>
                <w:b/>
              </w:rPr>
              <w:t>T</w:t>
            </w:r>
            <w:r>
              <w:rPr>
                <w:b/>
              </w:rPr>
              <w:t>OTAL</w:t>
            </w:r>
            <w:r w:rsidRPr="00EA4233">
              <w:t xml:space="preserve"> (refer to Note 6)</w:t>
            </w:r>
          </w:p>
        </w:tc>
        <w:tc>
          <w:tcPr>
            <w:tcW w:w="1560" w:type="dxa"/>
            <w:tcBorders>
              <w:top w:val="single" w:sz="4" w:space="0" w:color="auto"/>
              <w:bottom w:val="double" w:sz="6" w:space="0" w:color="000000"/>
            </w:tcBorders>
          </w:tcPr>
          <w:p w:rsidR="00B83890" w:rsidRDefault="00B83890" w:rsidP="006E6DC8">
            <w:pPr>
              <w:jc w:val="right"/>
              <w:rPr>
                <w:b/>
                <w:lang w:val="en-GB"/>
              </w:rPr>
            </w:pPr>
            <w:r>
              <w:rPr>
                <w:b/>
                <w:lang w:val="en-GB"/>
              </w:rPr>
              <w:t>24,398</w:t>
            </w:r>
          </w:p>
        </w:tc>
        <w:tc>
          <w:tcPr>
            <w:tcW w:w="1417" w:type="dxa"/>
            <w:tcBorders>
              <w:top w:val="single" w:sz="4" w:space="0" w:color="auto"/>
              <w:bottom w:val="double" w:sz="6" w:space="0" w:color="000000"/>
            </w:tcBorders>
          </w:tcPr>
          <w:p w:rsidR="00B83890" w:rsidRPr="00EA4233" w:rsidRDefault="00B83890" w:rsidP="006E6DC8">
            <w:pPr>
              <w:jc w:val="right"/>
              <w:rPr>
                <w:b/>
                <w:lang w:val="en-GB"/>
              </w:rPr>
            </w:pPr>
            <w:r>
              <w:rPr>
                <w:b/>
                <w:lang w:val="en-GB"/>
              </w:rPr>
              <w:t>25,805</w:t>
            </w:r>
          </w:p>
        </w:tc>
      </w:tr>
    </w:tbl>
    <w:p w:rsidR="00B83890" w:rsidRDefault="00B83890" w:rsidP="00B83890">
      <w:pPr>
        <w:rPr>
          <w:b/>
        </w:rPr>
      </w:pPr>
    </w:p>
    <w:p w:rsidR="00B83890" w:rsidRPr="00EB4B23" w:rsidRDefault="00B83890" w:rsidP="004B1BAA">
      <w:pPr>
        <w:pStyle w:val="Heading4"/>
        <w:rPr>
          <w:sz w:val="16"/>
          <w:szCs w:val="16"/>
          <w:lang w:val="en-GB"/>
        </w:rPr>
      </w:pPr>
      <w:r w:rsidRPr="00D605F7">
        <w:t>1</w:t>
      </w:r>
      <w:r>
        <w:t>5</w:t>
      </w:r>
      <w:r w:rsidRPr="00D605F7">
        <w:t xml:space="preserve"> (b)</w:t>
      </w:r>
      <w:r w:rsidRPr="00D605F7">
        <w:rPr>
          <w:lang w:val="en-GB"/>
        </w:rPr>
        <w:t xml:space="preserve"> Reconciliation of </w:t>
      </w:r>
      <w:r>
        <w:rPr>
          <w:lang w:val="en-GB"/>
        </w:rPr>
        <w:t xml:space="preserve">Net </w:t>
      </w:r>
      <w:r w:rsidRPr="00D605F7">
        <w:rPr>
          <w:lang w:val="en-GB"/>
        </w:rPr>
        <w:t xml:space="preserve">Result to Net Cash </w:t>
      </w:r>
      <w:r>
        <w:rPr>
          <w:lang w:val="en-GB"/>
        </w:rPr>
        <w:t xml:space="preserve">Flows </w:t>
      </w:r>
      <w:r w:rsidRPr="00D605F7">
        <w:rPr>
          <w:lang w:val="en-GB"/>
        </w:rPr>
        <w:t xml:space="preserve">from Operating </w:t>
      </w:r>
      <w:r>
        <w:rPr>
          <w:lang w:val="en-GB"/>
        </w:rPr>
        <w:t>A</w:t>
      </w:r>
      <w:r w:rsidRPr="00D605F7">
        <w:rPr>
          <w:lang w:val="en-GB"/>
        </w:rPr>
        <w:t>ctivities</w:t>
      </w:r>
    </w:p>
    <w:tbl>
      <w:tblPr>
        <w:tblW w:w="9244" w:type="dxa"/>
        <w:tblBorders>
          <w:bottom w:val="single" w:sz="4" w:space="0" w:color="auto"/>
        </w:tblBorders>
        <w:tblLayout w:type="fixed"/>
        <w:tblCellMar>
          <w:left w:w="30" w:type="dxa"/>
          <w:right w:w="30" w:type="dxa"/>
        </w:tblCellMar>
        <w:tblLook w:val="0000" w:firstRow="0" w:lastRow="0" w:firstColumn="0" w:lastColumn="0" w:noHBand="0" w:noVBand="0"/>
        <w:tblCaption w:val="Notes to the Cash Flow Statement: Reconciliation of Net Result to Net Cash flows from Operating Activities"/>
        <w:tblDescription w:val="This table shows Reconciliation of Net Result to Net Cash Flows from Operating Activities for 2012–13 with comparison to 2011–12."/>
      </w:tblPr>
      <w:tblGrid>
        <w:gridCol w:w="6"/>
        <w:gridCol w:w="4523"/>
        <w:gridCol w:w="705"/>
        <w:gridCol w:w="2528"/>
        <w:gridCol w:w="1405"/>
        <w:gridCol w:w="77"/>
      </w:tblGrid>
      <w:tr w:rsidR="00B83890" w:rsidRPr="00EA4233" w:rsidTr="00C427A6">
        <w:trPr>
          <w:gridBefore w:val="1"/>
          <w:trHeight w:val="255"/>
        </w:trPr>
        <w:tc>
          <w:tcPr>
            <w:tcW w:w="4566" w:type="dxa"/>
            <w:vAlign w:val="center"/>
          </w:tcPr>
          <w:p w:rsidR="00B83890" w:rsidRPr="00881CAB" w:rsidRDefault="00B83890" w:rsidP="006E6DC8">
            <w:pPr>
              <w:rPr>
                <w:b/>
                <w:lang w:val="en-GB"/>
              </w:rPr>
            </w:pPr>
            <w:r w:rsidRPr="00881CAB">
              <w:rPr>
                <w:b/>
                <w:lang w:val="en-GB"/>
              </w:rPr>
              <w:t>Net result for the year</w:t>
            </w:r>
          </w:p>
        </w:tc>
        <w:tc>
          <w:tcPr>
            <w:tcW w:w="710" w:type="dxa"/>
            <w:vAlign w:val="center"/>
          </w:tcPr>
          <w:p w:rsidR="00B83890" w:rsidRPr="00881CAB" w:rsidRDefault="00B83890" w:rsidP="006E6DC8">
            <w:pPr>
              <w:jc w:val="right"/>
              <w:rPr>
                <w:lang w:val="en-GB"/>
              </w:rPr>
            </w:pPr>
          </w:p>
        </w:tc>
        <w:tc>
          <w:tcPr>
            <w:tcW w:w="2551" w:type="dxa"/>
            <w:vAlign w:val="center"/>
          </w:tcPr>
          <w:p w:rsidR="00B83890" w:rsidRPr="00881CAB" w:rsidRDefault="00B83890" w:rsidP="006E6DC8">
            <w:pPr>
              <w:jc w:val="right"/>
              <w:rPr>
                <w:b/>
                <w:lang w:val="en-GB"/>
              </w:rPr>
            </w:pPr>
            <w:r>
              <w:rPr>
                <w:b/>
                <w:lang w:val="en-GB"/>
              </w:rPr>
              <w:t>(18,271)</w:t>
            </w:r>
          </w:p>
        </w:tc>
        <w:tc>
          <w:tcPr>
            <w:tcW w:w="1417" w:type="dxa"/>
            <w:gridSpan w:val="2"/>
            <w:vAlign w:val="center"/>
          </w:tcPr>
          <w:p w:rsidR="00B83890" w:rsidRPr="00881CAB" w:rsidRDefault="00B83890" w:rsidP="006E6DC8">
            <w:pPr>
              <w:jc w:val="right"/>
              <w:rPr>
                <w:b/>
                <w:lang w:val="en-GB"/>
              </w:rPr>
            </w:pPr>
            <w:r>
              <w:rPr>
                <w:b/>
                <w:lang w:val="en-GB"/>
              </w:rPr>
              <w:t>(12,603)</w:t>
            </w:r>
          </w:p>
        </w:tc>
      </w:tr>
      <w:tr w:rsidR="00B83890" w:rsidRPr="00EA4233" w:rsidTr="00C427A6">
        <w:trPr>
          <w:gridBefore w:val="1"/>
          <w:trHeight w:val="255"/>
        </w:trPr>
        <w:tc>
          <w:tcPr>
            <w:tcW w:w="5276" w:type="dxa"/>
            <w:gridSpan w:val="2"/>
            <w:vAlign w:val="center"/>
          </w:tcPr>
          <w:p w:rsidR="00B83890" w:rsidRPr="00EA568B" w:rsidRDefault="00B83890" w:rsidP="00751664">
            <w:pPr>
              <w:ind w:left="845"/>
              <w:rPr>
                <w:lang w:val="en-GB"/>
              </w:rPr>
            </w:pPr>
            <w:r w:rsidRPr="00EA568B">
              <w:rPr>
                <w:lang w:val="en-GB"/>
              </w:rPr>
              <w:t xml:space="preserve">Loss </w:t>
            </w:r>
            <w:r>
              <w:rPr>
                <w:lang w:val="en-GB"/>
              </w:rPr>
              <w:t>/</w:t>
            </w:r>
            <w:r w:rsidRPr="00EA568B">
              <w:rPr>
                <w:lang w:val="en-GB"/>
              </w:rPr>
              <w:t>(Gain) on Sale of Non-Current Assets</w:t>
            </w:r>
          </w:p>
        </w:tc>
        <w:tc>
          <w:tcPr>
            <w:tcW w:w="2551" w:type="dxa"/>
            <w:vAlign w:val="center"/>
          </w:tcPr>
          <w:p w:rsidR="00B83890" w:rsidRPr="00EA568B" w:rsidRDefault="00B83890" w:rsidP="006E6DC8">
            <w:pPr>
              <w:jc w:val="right"/>
              <w:rPr>
                <w:lang w:val="en-GB"/>
              </w:rPr>
            </w:pPr>
            <w:r>
              <w:rPr>
                <w:lang w:val="en-GB"/>
              </w:rPr>
              <w:t>130</w:t>
            </w:r>
          </w:p>
        </w:tc>
        <w:tc>
          <w:tcPr>
            <w:tcW w:w="1417" w:type="dxa"/>
            <w:gridSpan w:val="2"/>
            <w:vAlign w:val="center"/>
          </w:tcPr>
          <w:p w:rsidR="00B83890" w:rsidRPr="00EA568B" w:rsidRDefault="00B83890" w:rsidP="006E6DC8">
            <w:pPr>
              <w:jc w:val="right"/>
              <w:rPr>
                <w:lang w:val="en-GB"/>
              </w:rPr>
            </w:pPr>
            <w:r>
              <w:rPr>
                <w:lang w:val="en-GB"/>
              </w:rPr>
              <w:t>(46)</w:t>
            </w:r>
          </w:p>
        </w:tc>
      </w:tr>
      <w:tr w:rsidR="00B83890" w:rsidRPr="00EA4233" w:rsidTr="00C427A6">
        <w:trPr>
          <w:gridBefore w:val="1"/>
          <w:trHeight w:val="358"/>
        </w:trPr>
        <w:tc>
          <w:tcPr>
            <w:tcW w:w="4566" w:type="dxa"/>
            <w:vAlign w:val="center"/>
          </w:tcPr>
          <w:p w:rsidR="00B83890" w:rsidRPr="00EA4233" w:rsidRDefault="00B83890" w:rsidP="006E6DC8">
            <w:pPr>
              <w:rPr>
                <w:b/>
                <w:lang w:val="en-GB"/>
              </w:rPr>
            </w:pPr>
            <w:r>
              <w:rPr>
                <w:b/>
                <w:lang w:val="en-GB"/>
              </w:rPr>
              <w:tab/>
              <w:t>N</w:t>
            </w:r>
            <w:r w:rsidRPr="00EA4233">
              <w:rPr>
                <w:b/>
                <w:lang w:val="en-GB"/>
              </w:rPr>
              <w:t>on</w:t>
            </w:r>
            <w:r>
              <w:rPr>
                <w:b/>
                <w:lang w:val="en-GB"/>
              </w:rPr>
              <w:t>-</w:t>
            </w:r>
            <w:r w:rsidRPr="00EA4233">
              <w:rPr>
                <w:b/>
                <w:lang w:val="en-GB"/>
              </w:rPr>
              <w:t xml:space="preserve">cash </w:t>
            </w:r>
            <w:r>
              <w:rPr>
                <w:b/>
                <w:lang w:val="en-GB"/>
              </w:rPr>
              <w:t>movements</w:t>
            </w:r>
            <w:r w:rsidRPr="00EA4233">
              <w:rPr>
                <w:b/>
                <w:lang w:val="en-GB"/>
              </w:rPr>
              <w:t>:</w:t>
            </w:r>
          </w:p>
        </w:tc>
        <w:tc>
          <w:tcPr>
            <w:tcW w:w="710" w:type="dxa"/>
            <w:vAlign w:val="center"/>
          </w:tcPr>
          <w:p w:rsidR="00B83890" w:rsidRPr="00EA4233" w:rsidRDefault="00B83890" w:rsidP="006E6DC8">
            <w:pPr>
              <w:jc w:val="right"/>
              <w:rPr>
                <w:lang w:val="en-GB"/>
              </w:rPr>
            </w:pPr>
          </w:p>
        </w:tc>
        <w:tc>
          <w:tcPr>
            <w:tcW w:w="2551" w:type="dxa"/>
            <w:vAlign w:val="center"/>
          </w:tcPr>
          <w:p w:rsidR="00B83890" w:rsidRPr="00EA4233" w:rsidRDefault="00B83890" w:rsidP="006E6DC8">
            <w:pPr>
              <w:jc w:val="right"/>
              <w:rPr>
                <w:lang w:val="en-GB"/>
              </w:rPr>
            </w:pPr>
          </w:p>
        </w:tc>
        <w:tc>
          <w:tcPr>
            <w:tcW w:w="1417" w:type="dxa"/>
            <w:gridSpan w:val="2"/>
            <w:vAlign w:val="center"/>
          </w:tcPr>
          <w:p w:rsidR="00B83890" w:rsidRPr="00EA4233" w:rsidRDefault="00B83890" w:rsidP="006E6DC8">
            <w:pPr>
              <w:jc w:val="right"/>
              <w:rPr>
                <w:lang w:val="en-GB"/>
              </w:rPr>
            </w:pPr>
          </w:p>
        </w:tc>
      </w:tr>
      <w:tr w:rsidR="00B83890" w:rsidRPr="00EA4233" w:rsidTr="00C427A6">
        <w:tblPrEx>
          <w:tblBorders>
            <w:bottom w:val="none" w:sz="0" w:space="0" w:color="auto"/>
          </w:tblBorders>
          <w:tblCellMar>
            <w:left w:w="108" w:type="dxa"/>
            <w:right w:w="108" w:type="dxa"/>
          </w:tblCellMar>
        </w:tblPrEx>
        <w:trPr>
          <w:gridAfter w:val="1"/>
          <w:wAfter w:w="78" w:type="dxa"/>
          <w:trHeight w:val="255"/>
        </w:trPr>
        <w:tc>
          <w:tcPr>
            <w:tcW w:w="4566" w:type="dxa"/>
            <w:gridSpan w:val="2"/>
            <w:tcBorders>
              <w:bottom w:val="nil"/>
            </w:tcBorders>
          </w:tcPr>
          <w:p w:rsidR="00B83890" w:rsidRPr="00EA4233" w:rsidRDefault="00B83890" w:rsidP="006E6DC8">
            <w:pPr>
              <w:ind w:left="720"/>
              <w:rPr>
                <w:lang w:val="en-GB"/>
              </w:rPr>
            </w:pPr>
            <w:r w:rsidRPr="00EA4233">
              <w:rPr>
                <w:lang w:val="en-GB"/>
              </w:rPr>
              <w:t xml:space="preserve">Depreciation </w:t>
            </w:r>
          </w:p>
        </w:tc>
        <w:tc>
          <w:tcPr>
            <w:tcW w:w="710" w:type="dxa"/>
            <w:tcBorders>
              <w:bottom w:val="nil"/>
            </w:tcBorders>
          </w:tcPr>
          <w:p w:rsidR="00B83890" w:rsidRPr="00EA4233" w:rsidRDefault="00B83890" w:rsidP="006E6DC8">
            <w:pPr>
              <w:jc w:val="right"/>
              <w:rPr>
                <w:lang w:val="en-GB"/>
              </w:rPr>
            </w:pPr>
          </w:p>
        </w:tc>
        <w:tc>
          <w:tcPr>
            <w:tcW w:w="2551" w:type="dxa"/>
            <w:tcBorders>
              <w:bottom w:val="nil"/>
            </w:tcBorders>
          </w:tcPr>
          <w:p w:rsidR="00B83890" w:rsidRPr="00EA4233" w:rsidRDefault="00B83890" w:rsidP="006E6DC8">
            <w:pPr>
              <w:ind w:right="-108"/>
              <w:jc w:val="right"/>
              <w:rPr>
                <w:lang w:val="en-GB"/>
              </w:rPr>
            </w:pPr>
            <w:r>
              <w:rPr>
                <w:lang w:val="en-GB"/>
              </w:rPr>
              <w:t>19,181</w:t>
            </w:r>
          </w:p>
        </w:tc>
        <w:tc>
          <w:tcPr>
            <w:tcW w:w="1417" w:type="dxa"/>
            <w:tcBorders>
              <w:bottom w:val="nil"/>
            </w:tcBorders>
          </w:tcPr>
          <w:p w:rsidR="00B83890" w:rsidRPr="00EA4233" w:rsidRDefault="00B83890" w:rsidP="006E6DC8">
            <w:pPr>
              <w:jc w:val="right"/>
              <w:rPr>
                <w:lang w:val="en-GB"/>
              </w:rPr>
            </w:pPr>
            <w:r>
              <w:rPr>
                <w:lang w:val="en-GB"/>
              </w:rPr>
              <w:t>20,804</w:t>
            </w:r>
          </w:p>
        </w:tc>
      </w:tr>
      <w:tr w:rsidR="00B83890" w:rsidRPr="00EA4233" w:rsidTr="00C427A6">
        <w:tblPrEx>
          <w:tblBorders>
            <w:bottom w:val="none" w:sz="0" w:space="0" w:color="auto"/>
          </w:tblBorders>
          <w:tblCellMar>
            <w:left w:w="108" w:type="dxa"/>
            <w:right w:w="108" w:type="dxa"/>
          </w:tblCellMar>
        </w:tblPrEx>
        <w:trPr>
          <w:gridAfter w:val="1"/>
          <w:wAfter w:w="78" w:type="dxa"/>
          <w:trHeight w:val="255"/>
        </w:trPr>
        <w:tc>
          <w:tcPr>
            <w:tcW w:w="4566" w:type="dxa"/>
            <w:gridSpan w:val="2"/>
            <w:tcBorders>
              <w:bottom w:val="single" w:sz="4" w:space="0" w:color="auto"/>
            </w:tcBorders>
          </w:tcPr>
          <w:p w:rsidR="00B83890" w:rsidRPr="00E2240E" w:rsidRDefault="00B83890" w:rsidP="006E6DC8">
            <w:pPr>
              <w:ind w:left="720"/>
              <w:rPr>
                <w:lang w:val="en-GB"/>
              </w:rPr>
            </w:pPr>
            <w:r w:rsidRPr="00E2240E">
              <w:rPr>
                <w:lang w:val="en-GB"/>
              </w:rPr>
              <w:t>Doubtful Debt Expense</w:t>
            </w:r>
          </w:p>
        </w:tc>
        <w:tc>
          <w:tcPr>
            <w:tcW w:w="710" w:type="dxa"/>
            <w:tcBorders>
              <w:bottom w:val="single" w:sz="4" w:space="0" w:color="auto"/>
            </w:tcBorders>
          </w:tcPr>
          <w:p w:rsidR="00B83890" w:rsidRPr="00E2240E" w:rsidRDefault="00B83890" w:rsidP="006E6DC8">
            <w:pPr>
              <w:jc w:val="right"/>
              <w:rPr>
                <w:lang w:val="en-GB"/>
              </w:rPr>
            </w:pPr>
          </w:p>
        </w:tc>
        <w:tc>
          <w:tcPr>
            <w:tcW w:w="2551" w:type="dxa"/>
            <w:tcBorders>
              <w:bottom w:val="single" w:sz="4" w:space="0" w:color="auto"/>
            </w:tcBorders>
          </w:tcPr>
          <w:p w:rsidR="00B83890" w:rsidRPr="00E2240E" w:rsidRDefault="00B83890" w:rsidP="006E6DC8">
            <w:pPr>
              <w:ind w:right="-108"/>
              <w:jc w:val="right"/>
              <w:rPr>
                <w:lang w:val="en-GB"/>
              </w:rPr>
            </w:pPr>
            <w:r>
              <w:rPr>
                <w:lang w:val="en-GB"/>
              </w:rPr>
              <w:t>0</w:t>
            </w:r>
          </w:p>
        </w:tc>
        <w:tc>
          <w:tcPr>
            <w:tcW w:w="1417" w:type="dxa"/>
            <w:tcBorders>
              <w:bottom w:val="single" w:sz="4" w:space="0" w:color="auto"/>
            </w:tcBorders>
          </w:tcPr>
          <w:p w:rsidR="00B83890" w:rsidRPr="00E2240E" w:rsidRDefault="00B83890" w:rsidP="006E6DC8">
            <w:pPr>
              <w:jc w:val="right"/>
              <w:rPr>
                <w:lang w:val="en-GB"/>
              </w:rPr>
            </w:pPr>
            <w:r>
              <w:rPr>
                <w:lang w:val="en-GB"/>
              </w:rPr>
              <w:t>(50)</w:t>
            </w:r>
          </w:p>
        </w:tc>
      </w:tr>
      <w:tr w:rsidR="00B83890" w:rsidRPr="00EA4233" w:rsidTr="00C427A6">
        <w:tblPrEx>
          <w:tblBorders>
            <w:bottom w:val="none" w:sz="0" w:space="0" w:color="auto"/>
          </w:tblBorders>
          <w:tblCellMar>
            <w:left w:w="108" w:type="dxa"/>
            <w:right w:w="108" w:type="dxa"/>
          </w:tblCellMar>
        </w:tblPrEx>
        <w:trPr>
          <w:gridAfter w:val="1"/>
          <w:wAfter w:w="78" w:type="dxa"/>
          <w:trHeight w:val="197"/>
        </w:trPr>
        <w:tc>
          <w:tcPr>
            <w:tcW w:w="5276" w:type="dxa"/>
            <w:gridSpan w:val="3"/>
            <w:tcBorders>
              <w:top w:val="single" w:sz="4" w:space="0" w:color="auto"/>
            </w:tcBorders>
          </w:tcPr>
          <w:p w:rsidR="00B83890" w:rsidRDefault="00B83890" w:rsidP="006E6DC8">
            <w:pPr>
              <w:spacing w:before="120"/>
              <w:rPr>
                <w:b/>
                <w:lang w:val="en-GB"/>
              </w:rPr>
            </w:pPr>
            <w:r w:rsidRPr="00EA4233">
              <w:rPr>
                <w:b/>
                <w:lang w:val="en-GB"/>
              </w:rPr>
              <w:t xml:space="preserve">Net cash provided by operating activities before </w:t>
            </w:r>
            <w:r>
              <w:rPr>
                <w:b/>
                <w:lang w:val="en-GB"/>
              </w:rPr>
              <w:t>c</w:t>
            </w:r>
            <w:r w:rsidRPr="00EA4233">
              <w:rPr>
                <w:b/>
                <w:lang w:val="en-GB"/>
              </w:rPr>
              <w:t xml:space="preserve">hange in </w:t>
            </w:r>
            <w:r>
              <w:rPr>
                <w:b/>
                <w:lang w:val="en-GB"/>
              </w:rPr>
              <w:t>a</w:t>
            </w:r>
            <w:r w:rsidRPr="00EA4233">
              <w:rPr>
                <w:b/>
                <w:lang w:val="en-GB"/>
              </w:rPr>
              <w:t>ssets and liabilities</w:t>
            </w:r>
          </w:p>
        </w:tc>
        <w:tc>
          <w:tcPr>
            <w:tcW w:w="2551" w:type="dxa"/>
            <w:tcBorders>
              <w:top w:val="single" w:sz="4" w:space="0" w:color="auto"/>
            </w:tcBorders>
          </w:tcPr>
          <w:p w:rsidR="00B83890" w:rsidRPr="00EA4233" w:rsidRDefault="00B83890" w:rsidP="006E6DC8">
            <w:pPr>
              <w:spacing w:before="120" w:after="120"/>
              <w:ind w:right="-108"/>
              <w:jc w:val="right"/>
              <w:rPr>
                <w:b/>
                <w:lang w:val="en-GB"/>
              </w:rPr>
            </w:pPr>
            <w:r>
              <w:rPr>
                <w:b/>
                <w:lang w:val="en-GB"/>
              </w:rPr>
              <w:t>1,040</w:t>
            </w:r>
          </w:p>
        </w:tc>
        <w:tc>
          <w:tcPr>
            <w:tcW w:w="1417" w:type="dxa"/>
            <w:tcBorders>
              <w:top w:val="single" w:sz="4" w:space="0" w:color="auto"/>
            </w:tcBorders>
          </w:tcPr>
          <w:p w:rsidR="00B83890" w:rsidRPr="00EA4233" w:rsidRDefault="00B83890" w:rsidP="006E6DC8">
            <w:pPr>
              <w:spacing w:before="120" w:after="120"/>
              <w:jc w:val="right"/>
              <w:rPr>
                <w:b/>
                <w:lang w:val="en-GB"/>
              </w:rPr>
            </w:pPr>
            <w:r>
              <w:rPr>
                <w:b/>
                <w:lang w:val="en-GB"/>
              </w:rPr>
              <w:t>8,105</w:t>
            </w:r>
          </w:p>
        </w:tc>
      </w:tr>
      <w:tr w:rsidR="00B83890" w:rsidRPr="00EA4233" w:rsidTr="00C427A6">
        <w:tblPrEx>
          <w:tblBorders>
            <w:bottom w:val="none" w:sz="0" w:space="0" w:color="auto"/>
          </w:tblBorders>
          <w:tblCellMar>
            <w:left w:w="108" w:type="dxa"/>
            <w:right w:w="108" w:type="dxa"/>
          </w:tblCellMar>
        </w:tblPrEx>
        <w:trPr>
          <w:gridAfter w:val="1"/>
          <w:wAfter w:w="78" w:type="dxa"/>
          <w:trHeight w:val="197"/>
        </w:trPr>
        <w:tc>
          <w:tcPr>
            <w:tcW w:w="5276" w:type="dxa"/>
            <w:gridSpan w:val="3"/>
            <w:tcBorders>
              <w:top w:val="nil"/>
            </w:tcBorders>
          </w:tcPr>
          <w:p w:rsidR="00B83890" w:rsidRDefault="00B83890" w:rsidP="006E6DC8">
            <w:pPr>
              <w:spacing w:before="120" w:after="100" w:afterAutospacing="1"/>
              <w:rPr>
                <w:b/>
                <w:lang w:val="en-GB"/>
              </w:rPr>
            </w:pPr>
            <w:r>
              <w:rPr>
                <w:b/>
                <w:lang w:val="en-GB"/>
              </w:rPr>
              <w:t>Movement in assets and liabilities:</w:t>
            </w:r>
          </w:p>
        </w:tc>
        <w:tc>
          <w:tcPr>
            <w:tcW w:w="2551" w:type="dxa"/>
            <w:tcBorders>
              <w:top w:val="nil"/>
            </w:tcBorders>
          </w:tcPr>
          <w:p w:rsidR="00B83890" w:rsidRDefault="00B83890" w:rsidP="006E6DC8">
            <w:pPr>
              <w:spacing w:before="120" w:after="100" w:afterAutospacing="1"/>
              <w:jc w:val="right"/>
              <w:rPr>
                <w:b/>
                <w:lang w:val="en-GB"/>
              </w:rPr>
            </w:pPr>
          </w:p>
        </w:tc>
        <w:tc>
          <w:tcPr>
            <w:tcW w:w="1417" w:type="dxa"/>
            <w:tcBorders>
              <w:top w:val="nil"/>
            </w:tcBorders>
          </w:tcPr>
          <w:p w:rsidR="00B83890" w:rsidRDefault="00B83890" w:rsidP="006E6DC8">
            <w:pPr>
              <w:spacing w:before="120" w:after="100" w:afterAutospacing="1"/>
              <w:jc w:val="right"/>
              <w:rPr>
                <w:b/>
                <w:lang w:val="en-GB"/>
              </w:rPr>
            </w:pPr>
          </w:p>
        </w:tc>
      </w:tr>
      <w:tr w:rsidR="00B83890" w:rsidRPr="00EA4233" w:rsidTr="00C427A6">
        <w:trPr>
          <w:gridBefore w:val="1"/>
          <w:trHeight w:val="255"/>
        </w:trPr>
        <w:tc>
          <w:tcPr>
            <w:tcW w:w="4566" w:type="dxa"/>
            <w:vAlign w:val="center"/>
          </w:tcPr>
          <w:p w:rsidR="00B83890" w:rsidRPr="00EA4233" w:rsidRDefault="00B83890" w:rsidP="006E6DC8">
            <w:pPr>
              <w:ind w:left="720"/>
              <w:rPr>
                <w:lang w:val="en-GB"/>
              </w:rPr>
            </w:pPr>
            <w:r>
              <w:rPr>
                <w:lang w:val="en-GB"/>
              </w:rPr>
              <w:t>De</w:t>
            </w:r>
            <w:r w:rsidRPr="00EA4233">
              <w:rPr>
                <w:lang w:val="en-GB"/>
              </w:rPr>
              <w:t>crease/</w:t>
            </w:r>
            <w:r>
              <w:rPr>
                <w:lang w:val="en-GB"/>
              </w:rPr>
              <w:t>(In</w:t>
            </w:r>
            <w:r w:rsidRPr="00EA4233">
              <w:rPr>
                <w:lang w:val="en-GB"/>
              </w:rPr>
              <w:t>crease</w:t>
            </w:r>
            <w:r>
              <w:rPr>
                <w:lang w:val="en-GB"/>
              </w:rPr>
              <w:t>)</w:t>
            </w:r>
            <w:r w:rsidRPr="00EA4233">
              <w:rPr>
                <w:lang w:val="en-GB"/>
              </w:rPr>
              <w:t xml:space="preserve"> in Receivables</w:t>
            </w:r>
          </w:p>
        </w:tc>
        <w:tc>
          <w:tcPr>
            <w:tcW w:w="710" w:type="dxa"/>
            <w:vAlign w:val="center"/>
          </w:tcPr>
          <w:p w:rsidR="00B83890" w:rsidRPr="00EA4233" w:rsidRDefault="00B83890" w:rsidP="006E6DC8">
            <w:pPr>
              <w:jc w:val="right"/>
              <w:rPr>
                <w:lang w:val="en-GB"/>
              </w:rPr>
            </w:pPr>
          </w:p>
        </w:tc>
        <w:tc>
          <w:tcPr>
            <w:tcW w:w="2551" w:type="dxa"/>
            <w:vAlign w:val="center"/>
          </w:tcPr>
          <w:p w:rsidR="00B83890" w:rsidRPr="00C601BF" w:rsidRDefault="00B83890" w:rsidP="006E6DC8">
            <w:pPr>
              <w:jc w:val="right"/>
              <w:rPr>
                <w:lang w:val="en-GB"/>
              </w:rPr>
            </w:pPr>
            <w:r w:rsidRPr="00C601BF">
              <w:rPr>
                <w:lang w:val="en-GB"/>
              </w:rPr>
              <w:t>936</w:t>
            </w:r>
          </w:p>
        </w:tc>
        <w:tc>
          <w:tcPr>
            <w:tcW w:w="1417" w:type="dxa"/>
            <w:gridSpan w:val="2"/>
            <w:vAlign w:val="center"/>
          </w:tcPr>
          <w:p w:rsidR="00B83890" w:rsidRPr="00C601BF" w:rsidRDefault="00B83890" w:rsidP="006E6DC8">
            <w:pPr>
              <w:jc w:val="right"/>
              <w:rPr>
                <w:lang w:val="en-GB"/>
              </w:rPr>
            </w:pPr>
            <w:r w:rsidRPr="00C601BF">
              <w:rPr>
                <w:lang w:val="en-GB"/>
              </w:rPr>
              <w:t>(332)</w:t>
            </w:r>
          </w:p>
        </w:tc>
      </w:tr>
      <w:tr w:rsidR="00B83890" w:rsidRPr="00EA4233" w:rsidTr="00C427A6">
        <w:trPr>
          <w:gridBefore w:val="1"/>
          <w:trHeight w:val="255"/>
        </w:trPr>
        <w:tc>
          <w:tcPr>
            <w:tcW w:w="4566" w:type="dxa"/>
            <w:tcBorders>
              <w:bottom w:val="nil"/>
            </w:tcBorders>
            <w:vAlign w:val="center"/>
          </w:tcPr>
          <w:p w:rsidR="00B83890" w:rsidRPr="00EA4233" w:rsidRDefault="00B83890" w:rsidP="006E6DC8">
            <w:pPr>
              <w:tabs>
                <w:tab w:val="left" w:pos="426"/>
              </w:tabs>
              <w:ind w:left="709"/>
              <w:rPr>
                <w:b/>
                <w:lang w:val="en-GB"/>
              </w:rPr>
            </w:pPr>
            <w:r>
              <w:rPr>
                <w:lang w:val="en-GB"/>
              </w:rPr>
              <w:t>Decrease/(In</w:t>
            </w:r>
            <w:r w:rsidRPr="00EA4233">
              <w:rPr>
                <w:lang w:val="en-GB"/>
              </w:rPr>
              <w:t>crease</w:t>
            </w:r>
            <w:r>
              <w:rPr>
                <w:lang w:val="en-GB"/>
              </w:rPr>
              <w:t>)</w:t>
            </w:r>
            <w:r w:rsidRPr="00EA4233">
              <w:rPr>
                <w:lang w:val="en-GB"/>
              </w:rPr>
              <w:t xml:space="preserve"> in Prepayments</w:t>
            </w:r>
          </w:p>
        </w:tc>
        <w:tc>
          <w:tcPr>
            <w:tcW w:w="710" w:type="dxa"/>
            <w:tcBorders>
              <w:bottom w:val="nil"/>
            </w:tcBorders>
            <w:vAlign w:val="center"/>
          </w:tcPr>
          <w:p w:rsidR="00B83890" w:rsidRPr="00EA4233" w:rsidRDefault="00B83890" w:rsidP="006E6DC8">
            <w:pPr>
              <w:jc w:val="right"/>
              <w:rPr>
                <w:b/>
                <w:lang w:val="en-GB"/>
              </w:rPr>
            </w:pPr>
          </w:p>
        </w:tc>
        <w:tc>
          <w:tcPr>
            <w:tcW w:w="2551" w:type="dxa"/>
            <w:tcBorders>
              <w:bottom w:val="nil"/>
            </w:tcBorders>
            <w:vAlign w:val="center"/>
          </w:tcPr>
          <w:p w:rsidR="00B83890" w:rsidRPr="00C601BF" w:rsidRDefault="00B83890" w:rsidP="006E6DC8">
            <w:pPr>
              <w:jc w:val="right"/>
              <w:rPr>
                <w:lang w:val="en-GB"/>
              </w:rPr>
            </w:pPr>
            <w:r w:rsidRPr="00C601BF">
              <w:rPr>
                <w:lang w:val="en-GB"/>
              </w:rPr>
              <w:t>(92)</w:t>
            </w:r>
          </w:p>
        </w:tc>
        <w:tc>
          <w:tcPr>
            <w:tcW w:w="1417" w:type="dxa"/>
            <w:gridSpan w:val="2"/>
            <w:tcBorders>
              <w:bottom w:val="nil"/>
            </w:tcBorders>
            <w:vAlign w:val="center"/>
          </w:tcPr>
          <w:p w:rsidR="00B83890" w:rsidRPr="00C601BF" w:rsidRDefault="00B83890" w:rsidP="006E6DC8">
            <w:pPr>
              <w:jc w:val="right"/>
              <w:rPr>
                <w:lang w:val="en-GB"/>
              </w:rPr>
            </w:pPr>
            <w:r w:rsidRPr="00C601BF">
              <w:rPr>
                <w:lang w:val="en-GB"/>
              </w:rPr>
              <w:t>210</w:t>
            </w:r>
          </w:p>
        </w:tc>
      </w:tr>
      <w:tr w:rsidR="00B83890" w:rsidRPr="00EA4233" w:rsidTr="00C427A6">
        <w:trPr>
          <w:gridBefore w:val="1"/>
          <w:trHeight w:val="255"/>
        </w:trPr>
        <w:tc>
          <w:tcPr>
            <w:tcW w:w="4566" w:type="dxa"/>
            <w:vAlign w:val="center"/>
          </w:tcPr>
          <w:p w:rsidR="00B83890" w:rsidRPr="00EA4233" w:rsidRDefault="00B83890" w:rsidP="006E6DC8">
            <w:pPr>
              <w:ind w:left="720"/>
              <w:rPr>
                <w:lang w:val="en-GB"/>
              </w:rPr>
            </w:pPr>
            <w:r>
              <w:rPr>
                <w:lang w:val="en-GB"/>
              </w:rPr>
              <w:t>Decrease/(In</w:t>
            </w:r>
            <w:r w:rsidRPr="00EA4233">
              <w:rPr>
                <w:lang w:val="en-GB"/>
              </w:rPr>
              <w:t>crease</w:t>
            </w:r>
            <w:r>
              <w:rPr>
                <w:lang w:val="en-GB"/>
              </w:rPr>
              <w:t>)</w:t>
            </w:r>
            <w:r w:rsidRPr="00EA4233">
              <w:rPr>
                <w:lang w:val="en-GB"/>
              </w:rPr>
              <w:t xml:space="preserve"> in Inventories</w:t>
            </w:r>
          </w:p>
        </w:tc>
        <w:tc>
          <w:tcPr>
            <w:tcW w:w="710" w:type="dxa"/>
            <w:vAlign w:val="center"/>
          </w:tcPr>
          <w:p w:rsidR="00B83890" w:rsidRPr="00EA4233" w:rsidRDefault="00B83890" w:rsidP="006E6DC8">
            <w:pPr>
              <w:jc w:val="right"/>
              <w:rPr>
                <w:lang w:val="en-GB"/>
              </w:rPr>
            </w:pPr>
          </w:p>
        </w:tc>
        <w:tc>
          <w:tcPr>
            <w:tcW w:w="2551" w:type="dxa"/>
            <w:vAlign w:val="center"/>
          </w:tcPr>
          <w:p w:rsidR="00B83890" w:rsidRPr="00C601BF" w:rsidRDefault="00B83890" w:rsidP="006E6DC8">
            <w:pPr>
              <w:jc w:val="right"/>
              <w:rPr>
                <w:lang w:val="en-GB"/>
              </w:rPr>
            </w:pPr>
            <w:r w:rsidRPr="00C601BF">
              <w:rPr>
                <w:lang w:val="en-GB"/>
              </w:rPr>
              <w:t>(100)</w:t>
            </w:r>
          </w:p>
        </w:tc>
        <w:tc>
          <w:tcPr>
            <w:tcW w:w="1417" w:type="dxa"/>
            <w:gridSpan w:val="2"/>
            <w:vAlign w:val="center"/>
          </w:tcPr>
          <w:p w:rsidR="00B83890" w:rsidRPr="00C601BF" w:rsidRDefault="00B83890" w:rsidP="006E6DC8">
            <w:pPr>
              <w:jc w:val="right"/>
              <w:rPr>
                <w:lang w:val="en-GB"/>
              </w:rPr>
            </w:pPr>
            <w:r w:rsidRPr="00C601BF">
              <w:rPr>
                <w:lang w:val="en-GB"/>
              </w:rPr>
              <w:t>(337)</w:t>
            </w:r>
          </w:p>
        </w:tc>
      </w:tr>
      <w:tr w:rsidR="00B83890" w:rsidRPr="00EA4233" w:rsidTr="00C427A6">
        <w:trPr>
          <w:gridBefore w:val="1"/>
          <w:trHeight w:val="255"/>
        </w:trPr>
        <w:tc>
          <w:tcPr>
            <w:tcW w:w="4566" w:type="dxa"/>
            <w:vAlign w:val="center"/>
          </w:tcPr>
          <w:p w:rsidR="00B83890" w:rsidRPr="00EA4233" w:rsidRDefault="00B83890" w:rsidP="006E6DC8">
            <w:pPr>
              <w:ind w:left="720"/>
              <w:rPr>
                <w:lang w:val="en-GB"/>
              </w:rPr>
            </w:pPr>
            <w:r w:rsidRPr="00EA4233">
              <w:rPr>
                <w:lang w:val="en-GB"/>
              </w:rPr>
              <w:t>Increase</w:t>
            </w:r>
            <w:r>
              <w:rPr>
                <w:lang w:val="en-GB"/>
              </w:rPr>
              <w:t>/(Decrease)</w:t>
            </w:r>
            <w:r w:rsidRPr="00EA4233">
              <w:rPr>
                <w:lang w:val="en-GB"/>
              </w:rPr>
              <w:t xml:space="preserve"> in </w:t>
            </w:r>
            <w:r>
              <w:rPr>
                <w:lang w:val="en-GB"/>
              </w:rPr>
              <w:t>Payables</w:t>
            </w:r>
          </w:p>
        </w:tc>
        <w:tc>
          <w:tcPr>
            <w:tcW w:w="710" w:type="dxa"/>
            <w:vAlign w:val="center"/>
          </w:tcPr>
          <w:p w:rsidR="00B83890" w:rsidRPr="00EA4233" w:rsidRDefault="00B83890" w:rsidP="006E6DC8">
            <w:pPr>
              <w:jc w:val="right"/>
              <w:rPr>
                <w:lang w:val="en-GB"/>
              </w:rPr>
            </w:pPr>
          </w:p>
        </w:tc>
        <w:tc>
          <w:tcPr>
            <w:tcW w:w="2551" w:type="dxa"/>
            <w:vAlign w:val="center"/>
          </w:tcPr>
          <w:p w:rsidR="00B83890" w:rsidRPr="00C601BF" w:rsidRDefault="00B83890" w:rsidP="006E6DC8">
            <w:pPr>
              <w:jc w:val="right"/>
              <w:rPr>
                <w:lang w:val="en-GB"/>
              </w:rPr>
            </w:pPr>
            <w:r w:rsidRPr="00C601BF">
              <w:rPr>
                <w:lang w:val="en-GB"/>
              </w:rPr>
              <w:t>(809)</w:t>
            </w:r>
          </w:p>
        </w:tc>
        <w:tc>
          <w:tcPr>
            <w:tcW w:w="1417" w:type="dxa"/>
            <w:gridSpan w:val="2"/>
            <w:vAlign w:val="center"/>
          </w:tcPr>
          <w:p w:rsidR="00B83890" w:rsidRPr="00C601BF" w:rsidRDefault="00B83890" w:rsidP="006E6DC8">
            <w:pPr>
              <w:jc w:val="right"/>
              <w:rPr>
                <w:lang w:val="en-GB"/>
              </w:rPr>
            </w:pPr>
            <w:r w:rsidRPr="00C601BF">
              <w:rPr>
                <w:lang w:val="en-GB"/>
              </w:rPr>
              <w:t>1,702</w:t>
            </w:r>
          </w:p>
        </w:tc>
      </w:tr>
      <w:tr w:rsidR="00B83890" w:rsidRPr="00EA4233" w:rsidTr="00C427A6">
        <w:trPr>
          <w:gridBefore w:val="1"/>
          <w:trHeight w:val="255"/>
        </w:trPr>
        <w:tc>
          <w:tcPr>
            <w:tcW w:w="4566" w:type="dxa"/>
            <w:vAlign w:val="center"/>
          </w:tcPr>
          <w:p w:rsidR="00B83890" w:rsidRPr="005D31D6" w:rsidRDefault="00B83890" w:rsidP="006E6DC8">
            <w:pPr>
              <w:ind w:left="720"/>
              <w:rPr>
                <w:highlight w:val="green"/>
                <w:lang w:val="en-GB"/>
              </w:rPr>
            </w:pPr>
            <w:r w:rsidRPr="009341D1">
              <w:rPr>
                <w:lang w:val="en-GB"/>
              </w:rPr>
              <w:t xml:space="preserve">Increase/(Decrease) in Provisions </w:t>
            </w:r>
          </w:p>
        </w:tc>
        <w:tc>
          <w:tcPr>
            <w:tcW w:w="710" w:type="dxa"/>
            <w:vAlign w:val="center"/>
          </w:tcPr>
          <w:p w:rsidR="00B83890" w:rsidRPr="005D31D6" w:rsidRDefault="00B83890" w:rsidP="006E6DC8">
            <w:pPr>
              <w:jc w:val="right"/>
              <w:rPr>
                <w:highlight w:val="green"/>
                <w:lang w:val="en-GB"/>
              </w:rPr>
            </w:pPr>
          </w:p>
        </w:tc>
        <w:tc>
          <w:tcPr>
            <w:tcW w:w="2551" w:type="dxa"/>
            <w:vAlign w:val="center"/>
          </w:tcPr>
          <w:p w:rsidR="00B83890" w:rsidRPr="009341D1" w:rsidRDefault="00B83890" w:rsidP="006E6DC8">
            <w:pPr>
              <w:jc w:val="right"/>
              <w:rPr>
                <w:lang w:val="en-GB"/>
              </w:rPr>
            </w:pPr>
            <w:r>
              <w:rPr>
                <w:lang w:val="en-GB"/>
              </w:rPr>
              <w:t>704</w:t>
            </w:r>
          </w:p>
        </w:tc>
        <w:tc>
          <w:tcPr>
            <w:tcW w:w="1417" w:type="dxa"/>
            <w:gridSpan w:val="2"/>
            <w:vAlign w:val="center"/>
          </w:tcPr>
          <w:p w:rsidR="00B83890" w:rsidRPr="009341D1" w:rsidRDefault="00B83890" w:rsidP="006E6DC8">
            <w:pPr>
              <w:jc w:val="right"/>
              <w:rPr>
                <w:lang w:val="en-GB"/>
              </w:rPr>
            </w:pPr>
            <w:r>
              <w:rPr>
                <w:lang w:val="en-GB"/>
              </w:rPr>
              <w:t>(390)</w:t>
            </w:r>
          </w:p>
        </w:tc>
      </w:tr>
      <w:tr w:rsidR="00B83890" w:rsidRPr="00EA4233" w:rsidTr="00C427A6">
        <w:trPr>
          <w:gridBefore w:val="1"/>
          <w:trHeight w:val="312"/>
        </w:trPr>
        <w:tc>
          <w:tcPr>
            <w:tcW w:w="4566" w:type="dxa"/>
            <w:tcBorders>
              <w:top w:val="single" w:sz="4" w:space="0" w:color="auto"/>
              <w:bottom w:val="double" w:sz="4" w:space="0" w:color="auto"/>
            </w:tcBorders>
            <w:vAlign w:val="center"/>
          </w:tcPr>
          <w:p w:rsidR="00B83890" w:rsidRPr="00EA4233" w:rsidRDefault="00B83890" w:rsidP="006E6DC8">
            <w:pPr>
              <w:rPr>
                <w:b/>
                <w:lang w:val="en-GB"/>
              </w:rPr>
            </w:pPr>
            <w:r w:rsidRPr="00EA4233">
              <w:rPr>
                <w:b/>
                <w:lang w:val="en-GB"/>
              </w:rPr>
              <w:t>Net cash provided by operating activities</w:t>
            </w:r>
          </w:p>
        </w:tc>
        <w:tc>
          <w:tcPr>
            <w:tcW w:w="710" w:type="dxa"/>
            <w:tcBorders>
              <w:top w:val="single" w:sz="4" w:space="0" w:color="auto"/>
              <w:bottom w:val="double" w:sz="4" w:space="0" w:color="auto"/>
            </w:tcBorders>
            <w:vAlign w:val="center"/>
          </w:tcPr>
          <w:p w:rsidR="00B83890" w:rsidRPr="00EA4233" w:rsidRDefault="00B83890" w:rsidP="006E6DC8">
            <w:pPr>
              <w:jc w:val="right"/>
              <w:rPr>
                <w:b/>
                <w:lang w:val="en-GB"/>
              </w:rPr>
            </w:pPr>
          </w:p>
        </w:tc>
        <w:tc>
          <w:tcPr>
            <w:tcW w:w="2551" w:type="dxa"/>
            <w:tcBorders>
              <w:top w:val="single" w:sz="4" w:space="0" w:color="auto"/>
              <w:bottom w:val="double" w:sz="4" w:space="0" w:color="auto"/>
            </w:tcBorders>
            <w:vAlign w:val="center"/>
          </w:tcPr>
          <w:p w:rsidR="00B83890" w:rsidRPr="00EA4233" w:rsidRDefault="00B83890" w:rsidP="006E6DC8">
            <w:pPr>
              <w:jc w:val="right"/>
              <w:rPr>
                <w:b/>
                <w:lang w:val="en-GB"/>
              </w:rPr>
            </w:pPr>
            <w:r>
              <w:rPr>
                <w:b/>
                <w:lang w:val="en-GB"/>
              </w:rPr>
              <w:t>1,679</w:t>
            </w:r>
          </w:p>
        </w:tc>
        <w:tc>
          <w:tcPr>
            <w:tcW w:w="1417" w:type="dxa"/>
            <w:gridSpan w:val="2"/>
            <w:tcBorders>
              <w:top w:val="single" w:sz="4" w:space="0" w:color="auto"/>
              <w:bottom w:val="double" w:sz="4" w:space="0" w:color="auto"/>
            </w:tcBorders>
            <w:vAlign w:val="center"/>
          </w:tcPr>
          <w:p w:rsidR="00B83890" w:rsidRPr="00EA4233" w:rsidRDefault="00B83890" w:rsidP="006E6DC8">
            <w:pPr>
              <w:jc w:val="right"/>
              <w:rPr>
                <w:b/>
                <w:lang w:val="en-GB"/>
              </w:rPr>
            </w:pPr>
            <w:r>
              <w:rPr>
                <w:b/>
                <w:lang w:val="en-GB"/>
              </w:rPr>
              <w:t>8,958</w:t>
            </w:r>
          </w:p>
        </w:tc>
      </w:tr>
    </w:tbl>
    <w:p w:rsidR="002F6ECA" w:rsidRDefault="002F6ECA" w:rsidP="004B1BAA">
      <w:pPr>
        <w:pStyle w:val="Heading4"/>
      </w:pPr>
    </w:p>
    <w:p w:rsidR="00B83890" w:rsidRPr="008B55C5" w:rsidRDefault="00B83890" w:rsidP="004B1BAA">
      <w:pPr>
        <w:pStyle w:val="Heading4"/>
        <w:rPr>
          <w:i/>
        </w:rPr>
      </w:pPr>
      <w:r>
        <w:t>15</w:t>
      </w:r>
      <w:r w:rsidRPr="00881CAB">
        <w:t>(c)   Non-cash financing and investing activities</w:t>
      </w:r>
    </w:p>
    <w:tbl>
      <w:tblPr>
        <w:tblW w:w="9244" w:type="dxa"/>
        <w:tblBorders>
          <w:bottom w:val="single" w:sz="4" w:space="0" w:color="auto"/>
        </w:tblBorders>
        <w:tblLayout w:type="fixed"/>
        <w:tblCellMar>
          <w:left w:w="30" w:type="dxa"/>
          <w:right w:w="30" w:type="dxa"/>
        </w:tblCellMar>
        <w:tblLook w:val="0000" w:firstRow="0" w:lastRow="0" w:firstColumn="0" w:lastColumn="0" w:noHBand="0" w:noVBand="0"/>
        <w:tblCaption w:val="Notes to the Cash Flow Statement: Non-Cash financing and Investing Activities"/>
        <w:tblDescription w:val="This table shows Non-cash financing and Investing Activities for 2012–13 with comparison to 2011–12."/>
      </w:tblPr>
      <w:tblGrid>
        <w:gridCol w:w="4566"/>
        <w:gridCol w:w="710"/>
        <w:gridCol w:w="2551"/>
        <w:gridCol w:w="1417"/>
      </w:tblGrid>
      <w:tr w:rsidR="00B83890" w:rsidRPr="008B55C5" w:rsidTr="006E6DC8">
        <w:trPr>
          <w:cantSplit/>
          <w:trHeight w:val="255"/>
        </w:trPr>
        <w:tc>
          <w:tcPr>
            <w:tcW w:w="4566" w:type="dxa"/>
            <w:vAlign w:val="center"/>
          </w:tcPr>
          <w:p w:rsidR="00B83890" w:rsidRPr="008B55C5" w:rsidRDefault="00B83890" w:rsidP="006E6DC8">
            <w:pPr>
              <w:rPr>
                <w:lang w:val="en-GB"/>
              </w:rPr>
            </w:pPr>
            <w:r w:rsidRPr="008B55C5">
              <w:rPr>
                <w:lang w:val="en-GB"/>
              </w:rPr>
              <w:t>Financing Facilities</w:t>
            </w:r>
            <w:r>
              <w:rPr>
                <w:lang w:val="en-GB"/>
              </w:rPr>
              <w:t xml:space="preserve"> </w:t>
            </w:r>
          </w:p>
        </w:tc>
        <w:tc>
          <w:tcPr>
            <w:tcW w:w="710" w:type="dxa"/>
            <w:vAlign w:val="center"/>
          </w:tcPr>
          <w:p w:rsidR="00B83890" w:rsidRPr="008B55C5" w:rsidRDefault="00B83890" w:rsidP="006E6DC8">
            <w:pPr>
              <w:jc w:val="right"/>
              <w:rPr>
                <w:lang w:val="en-GB"/>
              </w:rPr>
            </w:pPr>
          </w:p>
        </w:tc>
        <w:tc>
          <w:tcPr>
            <w:tcW w:w="2551" w:type="dxa"/>
            <w:vAlign w:val="center"/>
          </w:tcPr>
          <w:p w:rsidR="00B83890" w:rsidRPr="008B55C5" w:rsidRDefault="00B83890" w:rsidP="006E6DC8">
            <w:pPr>
              <w:jc w:val="right"/>
              <w:rPr>
                <w:lang w:val="en-GB"/>
              </w:rPr>
            </w:pPr>
          </w:p>
        </w:tc>
        <w:tc>
          <w:tcPr>
            <w:tcW w:w="1417" w:type="dxa"/>
            <w:vAlign w:val="center"/>
          </w:tcPr>
          <w:p w:rsidR="00B83890" w:rsidRPr="008B55C5" w:rsidRDefault="00B83890" w:rsidP="006E6DC8">
            <w:pPr>
              <w:jc w:val="right"/>
              <w:rPr>
                <w:b/>
                <w:lang w:val="en-GB"/>
              </w:rPr>
            </w:pPr>
          </w:p>
        </w:tc>
      </w:tr>
      <w:tr w:rsidR="00B83890" w:rsidRPr="008B55C5" w:rsidTr="006E6DC8">
        <w:trPr>
          <w:cantSplit/>
          <w:trHeight w:val="255"/>
        </w:trPr>
        <w:tc>
          <w:tcPr>
            <w:tcW w:w="4566" w:type="dxa"/>
            <w:vAlign w:val="center"/>
          </w:tcPr>
          <w:p w:rsidR="00B83890" w:rsidRPr="008B55C5" w:rsidRDefault="00B83890" w:rsidP="006E6DC8">
            <w:pPr>
              <w:ind w:left="720"/>
              <w:rPr>
                <w:lang w:val="en-GB"/>
              </w:rPr>
            </w:pPr>
            <w:r w:rsidRPr="008B55C5">
              <w:rPr>
                <w:lang w:val="en-GB"/>
              </w:rPr>
              <w:t xml:space="preserve">Finance Lease </w:t>
            </w:r>
            <w:r>
              <w:rPr>
                <w:lang w:val="en-GB"/>
              </w:rPr>
              <w:t>Assets</w:t>
            </w:r>
          </w:p>
        </w:tc>
        <w:tc>
          <w:tcPr>
            <w:tcW w:w="710" w:type="dxa"/>
            <w:vAlign w:val="center"/>
          </w:tcPr>
          <w:p w:rsidR="00B83890" w:rsidRPr="008B55C5" w:rsidRDefault="00B83890" w:rsidP="006E6DC8">
            <w:pPr>
              <w:jc w:val="right"/>
              <w:rPr>
                <w:lang w:val="en-GB"/>
              </w:rPr>
            </w:pPr>
          </w:p>
        </w:tc>
        <w:tc>
          <w:tcPr>
            <w:tcW w:w="2551" w:type="dxa"/>
            <w:vAlign w:val="center"/>
          </w:tcPr>
          <w:p w:rsidR="00B83890" w:rsidRPr="008B55C5" w:rsidRDefault="00B83890" w:rsidP="006E6DC8">
            <w:pPr>
              <w:jc w:val="right"/>
              <w:rPr>
                <w:lang w:val="en-GB"/>
              </w:rPr>
            </w:pPr>
          </w:p>
        </w:tc>
        <w:tc>
          <w:tcPr>
            <w:tcW w:w="1417" w:type="dxa"/>
            <w:vAlign w:val="center"/>
          </w:tcPr>
          <w:p w:rsidR="00B83890" w:rsidRPr="008B55C5" w:rsidRDefault="00B83890" w:rsidP="006E6DC8">
            <w:pPr>
              <w:jc w:val="right"/>
              <w:rPr>
                <w:lang w:val="en-GB"/>
              </w:rPr>
            </w:pPr>
          </w:p>
        </w:tc>
      </w:tr>
      <w:tr w:rsidR="00B83890" w:rsidRPr="008B55C5" w:rsidTr="006E6DC8">
        <w:trPr>
          <w:cantSplit/>
          <w:trHeight w:val="255"/>
        </w:trPr>
        <w:tc>
          <w:tcPr>
            <w:tcW w:w="4566" w:type="dxa"/>
            <w:vAlign w:val="center"/>
          </w:tcPr>
          <w:p w:rsidR="00B83890" w:rsidRPr="008B55C5" w:rsidRDefault="00B83890" w:rsidP="00751664">
            <w:pPr>
              <w:ind w:left="709"/>
              <w:rPr>
                <w:lang w:val="en-GB"/>
              </w:rPr>
            </w:pPr>
            <w:r w:rsidRPr="008B55C5">
              <w:rPr>
                <w:lang w:val="en-GB"/>
              </w:rPr>
              <w:t>Acquisitions</w:t>
            </w:r>
          </w:p>
        </w:tc>
        <w:tc>
          <w:tcPr>
            <w:tcW w:w="710" w:type="dxa"/>
            <w:vAlign w:val="center"/>
          </w:tcPr>
          <w:p w:rsidR="00B83890" w:rsidRPr="008B55C5" w:rsidRDefault="00B83890" w:rsidP="006E6DC8">
            <w:pPr>
              <w:jc w:val="right"/>
              <w:rPr>
                <w:lang w:val="en-GB"/>
              </w:rPr>
            </w:pPr>
          </w:p>
        </w:tc>
        <w:tc>
          <w:tcPr>
            <w:tcW w:w="2551" w:type="dxa"/>
            <w:vAlign w:val="center"/>
          </w:tcPr>
          <w:p w:rsidR="00B83890" w:rsidRPr="002900E2" w:rsidRDefault="00B83890" w:rsidP="006E6DC8">
            <w:pPr>
              <w:jc w:val="right"/>
              <w:rPr>
                <w:lang w:val="en-GB"/>
              </w:rPr>
            </w:pPr>
            <w:r>
              <w:rPr>
                <w:lang w:val="en-GB"/>
              </w:rPr>
              <w:t>141</w:t>
            </w:r>
          </w:p>
        </w:tc>
        <w:tc>
          <w:tcPr>
            <w:tcW w:w="1417" w:type="dxa"/>
            <w:vAlign w:val="center"/>
          </w:tcPr>
          <w:p w:rsidR="00B83890" w:rsidRPr="002900E2" w:rsidRDefault="00B83890" w:rsidP="006E6DC8">
            <w:pPr>
              <w:jc w:val="right"/>
              <w:rPr>
                <w:lang w:val="en-GB"/>
              </w:rPr>
            </w:pPr>
            <w:r w:rsidRPr="002900E2">
              <w:rPr>
                <w:lang w:val="en-GB"/>
              </w:rPr>
              <w:t>162</w:t>
            </w:r>
          </w:p>
        </w:tc>
      </w:tr>
      <w:tr w:rsidR="00B83890" w:rsidRPr="008B55C5" w:rsidTr="006E6DC8">
        <w:trPr>
          <w:cantSplit/>
          <w:trHeight w:val="255"/>
        </w:trPr>
        <w:tc>
          <w:tcPr>
            <w:tcW w:w="4566" w:type="dxa"/>
            <w:vAlign w:val="center"/>
          </w:tcPr>
          <w:p w:rsidR="00B83890" w:rsidRPr="008B55C5" w:rsidRDefault="00B83890" w:rsidP="00751664">
            <w:pPr>
              <w:ind w:left="709"/>
              <w:rPr>
                <w:lang w:val="en-GB"/>
              </w:rPr>
            </w:pPr>
            <w:r w:rsidRPr="008B55C5">
              <w:rPr>
                <w:lang w:val="en-GB"/>
              </w:rPr>
              <w:t>Disposals</w:t>
            </w:r>
          </w:p>
        </w:tc>
        <w:tc>
          <w:tcPr>
            <w:tcW w:w="710" w:type="dxa"/>
            <w:vAlign w:val="center"/>
          </w:tcPr>
          <w:p w:rsidR="00B83890" w:rsidRPr="008B55C5" w:rsidRDefault="00B83890" w:rsidP="006E6DC8">
            <w:pPr>
              <w:jc w:val="right"/>
              <w:rPr>
                <w:lang w:val="en-GB"/>
              </w:rPr>
            </w:pPr>
          </w:p>
        </w:tc>
        <w:tc>
          <w:tcPr>
            <w:tcW w:w="2551" w:type="dxa"/>
            <w:vAlign w:val="center"/>
          </w:tcPr>
          <w:p w:rsidR="00B83890" w:rsidRPr="002900E2" w:rsidRDefault="00B83890" w:rsidP="006E6DC8">
            <w:pPr>
              <w:jc w:val="right"/>
              <w:rPr>
                <w:lang w:val="en-GB"/>
              </w:rPr>
            </w:pPr>
            <w:r>
              <w:rPr>
                <w:lang w:val="en-GB"/>
              </w:rPr>
              <w:t>(122)</w:t>
            </w:r>
          </w:p>
        </w:tc>
        <w:tc>
          <w:tcPr>
            <w:tcW w:w="1417" w:type="dxa"/>
            <w:vAlign w:val="center"/>
          </w:tcPr>
          <w:p w:rsidR="00B83890" w:rsidRPr="002900E2" w:rsidRDefault="00B83890" w:rsidP="006E6DC8">
            <w:pPr>
              <w:jc w:val="right"/>
              <w:rPr>
                <w:lang w:val="en-GB"/>
              </w:rPr>
            </w:pPr>
            <w:r w:rsidRPr="002900E2">
              <w:rPr>
                <w:lang w:val="en-GB"/>
              </w:rPr>
              <w:t>(157)</w:t>
            </w:r>
          </w:p>
        </w:tc>
      </w:tr>
      <w:tr w:rsidR="00B83890" w:rsidRPr="008B55C5" w:rsidTr="006E6DC8">
        <w:trPr>
          <w:cantSplit/>
          <w:trHeight w:val="312"/>
        </w:trPr>
        <w:tc>
          <w:tcPr>
            <w:tcW w:w="4566" w:type="dxa"/>
            <w:tcBorders>
              <w:top w:val="single" w:sz="4" w:space="0" w:color="auto"/>
              <w:bottom w:val="double" w:sz="4" w:space="0" w:color="auto"/>
            </w:tcBorders>
            <w:vAlign w:val="center"/>
          </w:tcPr>
          <w:p w:rsidR="00B83890" w:rsidRPr="008B55C5" w:rsidRDefault="00B83890" w:rsidP="006E6DC8">
            <w:pPr>
              <w:rPr>
                <w:b/>
                <w:lang w:val="en-GB"/>
              </w:rPr>
            </w:pPr>
          </w:p>
        </w:tc>
        <w:tc>
          <w:tcPr>
            <w:tcW w:w="710" w:type="dxa"/>
            <w:tcBorders>
              <w:top w:val="single" w:sz="4" w:space="0" w:color="auto"/>
              <w:bottom w:val="double" w:sz="4" w:space="0" w:color="auto"/>
            </w:tcBorders>
            <w:vAlign w:val="center"/>
          </w:tcPr>
          <w:p w:rsidR="00B83890" w:rsidRPr="008B55C5" w:rsidRDefault="00B83890" w:rsidP="006E6DC8">
            <w:pPr>
              <w:jc w:val="right"/>
              <w:rPr>
                <w:b/>
                <w:lang w:val="en-GB"/>
              </w:rPr>
            </w:pPr>
          </w:p>
        </w:tc>
        <w:tc>
          <w:tcPr>
            <w:tcW w:w="2551" w:type="dxa"/>
            <w:tcBorders>
              <w:top w:val="single" w:sz="4" w:space="0" w:color="auto"/>
              <w:bottom w:val="double" w:sz="4" w:space="0" w:color="auto"/>
            </w:tcBorders>
            <w:vAlign w:val="center"/>
          </w:tcPr>
          <w:p w:rsidR="00B83890" w:rsidRPr="002900E2" w:rsidRDefault="00B83890" w:rsidP="006E6DC8">
            <w:pPr>
              <w:jc w:val="right"/>
              <w:rPr>
                <w:b/>
                <w:lang w:val="en-GB"/>
              </w:rPr>
            </w:pPr>
            <w:r>
              <w:rPr>
                <w:b/>
                <w:lang w:val="en-GB"/>
              </w:rPr>
              <w:t>19</w:t>
            </w:r>
          </w:p>
        </w:tc>
        <w:tc>
          <w:tcPr>
            <w:tcW w:w="1417" w:type="dxa"/>
            <w:tcBorders>
              <w:top w:val="single" w:sz="4" w:space="0" w:color="auto"/>
              <w:bottom w:val="double" w:sz="4" w:space="0" w:color="auto"/>
            </w:tcBorders>
            <w:vAlign w:val="center"/>
          </w:tcPr>
          <w:p w:rsidR="00B83890" w:rsidRPr="002900E2" w:rsidRDefault="00B83890" w:rsidP="006E6DC8">
            <w:pPr>
              <w:jc w:val="right"/>
              <w:rPr>
                <w:b/>
                <w:lang w:val="en-GB"/>
              </w:rPr>
            </w:pPr>
            <w:r w:rsidRPr="002900E2">
              <w:rPr>
                <w:b/>
                <w:lang w:val="en-GB"/>
              </w:rPr>
              <w:t>5</w:t>
            </w:r>
          </w:p>
        </w:tc>
      </w:tr>
    </w:tbl>
    <w:p w:rsidR="00B83890" w:rsidRDefault="00B83890" w:rsidP="00B83890">
      <w:pPr>
        <w:pStyle w:val="Heading2"/>
        <w:tabs>
          <w:tab w:val="left" w:pos="426"/>
        </w:tabs>
        <w:rPr>
          <w:i/>
          <w:color w:val="000000"/>
          <w:sz w:val="22"/>
          <w:szCs w:val="22"/>
        </w:rPr>
      </w:pPr>
    </w:p>
    <w:p w:rsidR="00B83890" w:rsidRDefault="00B83890" w:rsidP="00B83890">
      <w:pPr>
        <w:keepNext w:val="0"/>
        <w:outlineLvl w:val="9"/>
        <w:rPr>
          <w:b/>
          <w:color w:val="000000"/>
        </w:rPr>
      </w:pPr>
      <w:r>
        <w:rPr>
          <w:color w:val="000000"/>
        </w:rPr>
        <w:br w:type="page"/>
      </w:r>
    </w:p>
    <w:p w:rsidR="00B83890" w:rsidRPr="00D605F7" w:rsidRDefault="00B83890" w:rsidP="00513943">
      <w:pPr>
        <w:pStyle w:val="Heading3"/>
        <w:rPr>
          <w:i/>
        </w:rPr>
      </w:pPr>
      <w:r w:rsidRPr="00D605F7">
        <w:lastRenderedPageBreak/>
        <w:t>1</w:t>
      </w:r>
      <w:r>
        <w:t>6</w:t>
      </w:r>
      <w:r w:rsidRPr="00D605F7">
        <w:t>.</w:t>
      </w:r>
      <w:r w:rsidRPr="00D605F7">
        <w:tab/>
        <w:t xml:space="preserve">RESPONSIBLE PERSONS </w:t>
      </w:r>
    </w:p>
    <w:p w:rsidR="002F6ECA" w:rsidRDefault="002F6ECA" w:rsidP="002F6ECA">
      <w:pPr>
        <w:pStyle w:val="Heading4"/>
        <w:rPr>
          <w:lang w:val="en-GB"/>
        </w:rPr>
      </w:pPr>
    </w:p>
    <w:p w:rsidR="00B83890" w:rsidRPr="00EA7F17" w:rsidRDefault="00B83890" w:rsidP="002F6ECA">
      <w:pPr>
        <w:pStyle w:val="Heading4"/>
        <w:rPr>
          <w:lang w:val="en-GB"/>
        </w:rPr>
      </w:pPr>
      <w:r>
        <w:rPr>
          <w:lang w:val="en-GB"/>
        </w:rPr>
        <w:t>16</w:t>
      </w:r>
      <w:r w:rsidRPr="00EA7F17">
        <w:rPr>
          <w:lang w:val="en-GB"/>
        </w:rPr>
        <w:t>(a)</w:t>
      </w:r>
      <w:r>
        <w:rPr>
          <w:lang w:val="en-GB"/>
        </w:rPr>
        <w:t xml:space="preserve"> </w:t>
      </w:r>
      <w:r w:rsidRPr="00EA7F17">
        <w:rPr>
          <w:lang w:val="en-GB"/>
        </w:rPr>
        <w:t>Responsible Persons</w:t>
      </w:r>
    </w:p>
    <w:p w:rsidR="00B83890" w:rsidRPr="00013E40" w:rsidRDefault="00B83890" w:rsidP="00B83890">
      <w:pPr>
        <w:pStyle w:val="BodyTextIndent3"/>
        <w:spacing w:before="60"/>
        <w:ind w:left="0"/>
      </w:pPr>
      <w:r>
        <w:t>T</w:t>
      </w:r>
      <w:r w:rsidRPr="00013E40">
        <w:t>he following disclosures are made regarding responsible persons for the reporting period.</w:t>
      </w:r>
    </w:p>
    <w:p w:rsidR="00B83890" w:rsidRDefault="00B83890" w:rsidP="00B83890">
      <w:pPr>
        <w:ind w:left="720"/>
        <w:rPr>
          <w:lang w:val="en-GB"/>
        </w:rPr>
      </w:pPr>
      <w:r w:rsidRPr="00350B2B">
        <w:rPr>
          <w:lang w:val="en-GB"/>
        </w:rPr>
        <w:t>Responsible Minister – Hon. Ted Baillieu MP (1 July 2012 to 6 March 2013)</w:t>
      </w:r>
    </w:p>
    <w:p w:rsidR="00B83890" w:rsidRPr="00350B2B" w:rsidRDefault="00B83890" w:rsidP="00B83890">
      <w:pPr>
        <w:ind w:left="720"/>
        <w:rPr>
          <w:lang w:val="en-GB"/>
        </w:rPr>
      </w:pPr>
      <w:r w:rsidRPr="00350B2B">
        <w:rPr>
          <w:lang w:val="en-GB"/>
        </w:rPr>
        <w:t xml:space="preserve">Responsible Minister – Hon. </w:t>
      </w:r>
      <w:r>
        <w:rPr>
          <w:lang w:val="en-GB"/>
        </w:rPr>
        <w:t>Dennis Napthine</w:t>
      </w:r>
      <w:r w:rsidRPr="00350B2B">
        <w:rPr>
          <w:lang w:val="en-GB"/>
        </w:rPr>
        <w:t xml:space="preserve"> MP (</w:t>
      </w:r>
      <w:r>
        <w:rPr>
          <w:lang w:val="en-GB"/>
        </w:rPr>
        <w:t>7 March 2</w:t>
      </w:r>
      <w:r w:rsidRPr="00350B2B">
        <w:rPr>
          <w:lang w:val="en-GB"/>
        </w:rPr>
        <w:t>01</w:t>
      </w:r>
      <w:r>
        <w:rPr>
          <w:lang w:val="en-GB"/>
        </w:rPr>
        <w:t>3</w:t>
      </w:r>
      <w:r w:rsidRPr="00350B2B">
        <w:rPr>
          <w:lang w:val="en-GB"/>
        </w:rPr>
        <w:t xml:space="preserve"> to </w:t>
      </w:r>
      <w:r>
        <w:rPr>
          <w:lang w:val="en-GB"/>
        </w:rPr>
        <w:t>12</w:t>
      </w:r>
      <w:r w:rsidRPr="00350B2B">
        <w:rPr>
          <w:lang w:val="en-GB"/>
        </w:rPr>
        <w:t xml:space="preserve"> March 2013)</w:t>
      </w:r>
    </w:p>
    <w:p w:rsidR="00B83890" w:rsidRPr="00350B2B" w:rsidRDefault="00B83890" w:rsidP="00B83890">
      <w:pPr>
        <w:ind w:left="720"/>
        <w:rPr>
          <w:lang w:val="en-GB"/>
        </w:rPr>
      </w:pPr>
      <w:r w:rsidRPr="00350B2B">
        <w:rPr>
          <w:lang w:val="en-GB"/>
        </w:rPr>
        <w:t>Responsible Minister – Hon. Heidi Victoria MP (from 13 March 2013)</w:t>
      </w:r>
    </w:p>
    <w:p w:rsidR="00B83890" w:rsidRPr="00350B2B" w:rsidRDefault="00B83890" w:rsidP="00B83890">
      <w:pPr>
        <w:ind w:left="720"/>
        <w:rPr>
          <w:lang w:val="en-GB"/>
        </w:rPr>
      </w:pPr>
      <w:r w:rsidRPr="00350B2B">
        <w:rPr>
          <w:lang w:val="en-GB"/>
        </w:rPr>
        <w:t>Accountable Officer – Dr J</w:t>
      </w:r>
      <w:r>
        <w:rPr>
          <w:lang w:val="en-GB"/>
        </w:rPr>
        <w:t>.</w:t>
      </w:r>
      <w:r w:rsidRPr="00350B2B">
        <w:rPr>
          <w:lang w:val="en-GB"/>
        </w:rPr>
        <w:t xml:space="preserve"> Patrick Greene</w:t>
      </w:r>
    </w:p>
    <w:p w:rsidR="00B83890" w:rsidRPr="00350B2B" w:rsidRDefault="00B83890" w:rsidP="00B83890">
      <w:pPr>
        <w:ind w:left="720"/>
        <w:rPr>
          <w:lang w:val="en-GB"/>
        </w:rPr>
      </w:pPr>
      <w:r w:rsidRPr="00350B2B">
        <w:rPr>
          <w:lang w:val="en-GB"/>
        </w:rPr>
        <w:t>Board Members:</w:t>
      </w:r>
    </w:p>
    <w:p w:rsidR="00B83890" w:rsidRPr="00350B2B" w:rsidRDefault="00B83890" w:rsidP="00B83890">
      <w:pPr>
        <w:ind w:left="720"/>
        <w:jc w:val="both"/>
        <w:rPr>
          <w:color w:val="000000"/>
        </w:rPr>
      </w:pPr>
      <w:r w:rsidRPr="00350B2B">
        <w:rPr>
          <w:color w:val="000000"/>
        </w:rPr>
        <w:t>Professor Margaret Gardner AO (President)</w:t>
      </w:r>
    </w:p>
    <w:p w:rsidR="00B83890" w:rsidRPr="00350B2B" w:rsidRDefault="00B83890" w:rsidP="00B83890">
      <w:pPr>
        <w:ind w:left="720"/>
        <w:jc w:val="both"/>
        <w:rPr>
          <w:color w:val="000000"/>
        </w:rPr>
      </w:pPr>
      <w:r w:rsidRPr="00350B2B">
        <w:rPr>
          <w:color w:val="000000"/>
        </w:rPr>
        <w:t>Mr Michael Perry (Treasurer)</w:t>
      </w:r>
    </w:p>
    <w:p w:rsidR="00B83890" w:rsidRPr="00350B2B" w:rsidRDefault="00B83890" w:rsidP="00B83890">
      <w:pPr>
        <w:ind w:left="720"/>
        <w:jc w:val="both"/>
        <w:rPr>
          <w:color w:val="000000"/>
        </w:rPr>
      </w:pPr>
      <w:r w:rsidRPr="00350B2B">
        <w:rPr>
          <w:color w:val="000000"/>
        </w:rPr>
        <w:t>Mr Jim Cousins AO</w:t>
      </w:r>
    </w:p>
    <w:p w:rsidR="00B83890" w:rsidRPr="00350B2B" w:rsidRDefault="00B83890" w:rsidP="00B83890">
      <w:pPr>
        <w:ind w:left="720"/>
        <w:jc w:val="both"/>
        <w:rPr>
          <w:color w:val="000000"/>
        </w:rPr>
      </w:pPr>
      <w:r w:rsidRPr="00350B2B">
        <w:rPr>
          <w:color w:val="000000"/>
        </w:rPr>
        <w:t>Ms Sylvia Falzon</w:t>
      </w:r>
    </w:p>
    <w:p w:rsidR="00B83890" w:rsidRPr="00350B2B" w:rsidRDefault="00B83890" w:rsidP="00B83890">
      <w:pPr>
        <w:ind w:left="720"/>
        <w:jc w:val="both"/>
        <w:rPr>
          <w:color w:val="000000"/>
        </w:rPr>
      </w:pPr>
      <w:r w:rsidRPr="00350B2B">
        <w:rPr>
          <w:color w:val="000000"/>
        </w:rPr>
        <w:t>Mr Wilkin Fon</w:t>
      </w:r>
    </w:p>
    <w:p w:rsidR="00B83890" w:rsidRPr="00350B2B" w:rsidRDefault="00B83890" w:rsidP="00B83890">
      <w:pPr>
        <w:ind w:left="720"/>
        <w:jc w:val="both"/>
        <w:rPr>
          <w:color w:val="000000"/>
        </w:rPr>
      </w:pPr>
      <w:r w:rsidRPr="00350B2B">
        <w:rPr>
          <w:color w:val="000000"/>
        </w:rPr>
        <w:t>Mr Colin Golvan SC</w:t>
      </w:r>
    </w:p>
    <w:p w:rsidR="00B83890" w:rsidRPr="00350B2B" w:rsidRDefault="00B83890" w:rsidP="00B83890">
      <w:pPr>
        <w:ind w:left="720"/>
        <w:jc w:val="both"/>
        <w:rPr>
          <w:color w:val="000000"/>
        </w:rPr>
      </w:pPr>
      <w:r w:rsidRPr="00350B2B">
        <w:rPr>
          <w:color w:val="000000"/>
        </w:rPr>
        <w:t>Professor Pookong Kee</w:t>
      </w:r>
    </w:p>
    <w:p w:rsidR="00B83890" w:rsidRPr="00350B2B" w:rsidRDefault="00B83890" w:rsidP="00B83890">
      <w:pPr>
        <w:ind w:left="720"/>
        <w:jc w:val="both"/>
        <w:rPr>
          <w:color w:val="000000"/>
        </w:rPr>
      </w:pPr>
      <w:r w:rsidRPr="00350B2B">
        <w:rPr>
          <w:color w:val="000000"/>
        </w:rPr>
        <w:t>Dr Gaye Sculthorpe (from 14 August 2012 to 14 February 2013)</w:t>
      </w:r>
    </w:p>
    <w:p w:rsidR="00B83890" w:rsidRDefault="00B83890" w:rsidP="00B83890">
      <w:pPr>
        <w:ind w:left="720"/>
        <w:jc w:val="both"/>
        <w:rPr>
          <w:color w:val="000000"/>
        </w:rPr>
      </w:pPr>
      <w:r w:rsidRPr="00350B2B">
        <w:rPr>
          <w:color w:val="000000"/>
        </w:rPr>
        <w:t>Mr Tim Sullivan (from 14 August 2012)</w:t>
      </w:r>
    </w:p>
    <w:p w:rsidR="00B83890" w:rsidRPr="00350B2B" w:rsidRDefault="00B83890" w:rsidP="00B83890">
      <w:pPr>
        <w:ind w:left="720"/>
        <w:jc w:val="both"/>
        <w:rPr>
          <w:color w:val="000000"/>
        </w:rPr>
      </w:pPr>
    </w:p>
    <w:p w:rsidR="00B83890" w:rsidRPr="00EA7F17" w:rsidRDefault="00B83890" w:rsidP="002F6ECA">
      <w:pPr>
        <w:pStyle w:val="Heading4"/>
        <w:rPr>
          <w:lang w:val="en-GB"/>
        </w:rPr>
      </w:pPr>
      <w:r>
        <w:rPr>
          <w:lang w:val="en-GB"/>
        </w:rPr>
        <w:t>16</w:t>
      </w:r>
      <w:r w:rsidRPr="00EA7F17">
        <w:rPr>
          <w:lang w:val="en-GB"/>
        </w:rPr>
        <w:t>(b) Remuneration of Responsible Persons</w:t>
      </w:r>
    </w:p>
    <w:p w:rsidR="00B83890" w:rsidRDefault="00B83890" w:rsidP="00B83890">
      <w:pPr>
        <w:pStyle w:val="BodyTextIndent3"/>
        <w:spacing w:before="60"/>
        <w:ind w:left="0"/>
      </w:pPr>
      <w:r w:rsidRPr="00DA745D">
        <w:t>Members of the Board act in an honorary capacity.</w:t>
      </w:r>
      <w:r>
        <w:t xml:space="preserve"> </w:t>
      </w:r>
    </w:p>
    <w:p w:rsidR="00B83890" w:rsidRPr="00012292" w:rsidRDefault="00B83890" w:rsidP="00B83890">
      <w:pPr>
        <w:pStyle w:val="BodyTextIndent3"/>
        <w:spacing w:before="60"/>
        <w:ind w:left="0"/>
      </w:pPr>
      <w:r w:rsidRPr="00CA6D08">
        <w:t>Amounts relating to the Responsible Minister are reported in the financial statements of the Department of Premier and Cabinet</w:t>
      </w:r>
      <w:r>
        <w:t>.</w:t>
      </w:r>
    </w:p>
    <w:p w:rsidR="00B83890" w:rsidRDefault="00B83890" w:rsidP="00B83890">
      <w:pPr>
        <w:pStyle w:val="BodyTextIndent3"/>
        <w:spacing w:before="60"/>
        <w:ind w:left="0"/>
      </w:pPr>
      <w:r w:rsidRPr="00DA745D">
        <w:t>The remuneration of the Accountable Officer, who is not a Member of the Board, during the reporting period, was in the range</w:t>
      </w:r>
      <w:r>
        <w:t xml:space="preserve"> </w:t>
      </w:r>
      <w:r w:rsidRPr="00CA6D08">
        <w:t xml:space="preserve">of </w:t>
      </w:r>
      <w:r w:rsidRPr="009C2E49">
        <w:t>$320,000 - $330,000</w:t>
      </w:r>
      <w:r w:rsidRPr="00E9433F">
        <w:t xml:space="preserve"> ($</w:t>
      </w:r>
      <w:r w:rsidRPr="00CA6D08">
        <w:t>3</w:t>
      </w:r>
      <w:r>
        <w:t>00</w:t>
      </w:r>
      <w:r w:rsidRPr="00CA6D08">
        <w:t>,000 - $3</w:t>
      </w:r>
      <w:r>
        <w:t>10</w:t>
      </w:r>
      <w:r w:rsidRPr="00CA6D08">
        <w:t>,</w:t>
      </w:r>
      <w:r>
        <w:t>000</w:t>
      </w:r>
      <w:r w:rsidRPr="00E9433F">
        <w:t xml:space="preserve"> in </w:t>
      </w:r>
      <w:r>
        <w:t>2011</w:t>
      </w:r>
      <w:r>
        <w:rPr>
          <w:b/>
        </w:rPr>
        <w:t>–</w:t>
      </w:r>
      <w:r>
        <w:t xml:space="preserve">12). </w:t>
      </w:r>
      <w:r w:rsidRPr="004A08FE">
        <w:t>The remuneration of the Accountable Officer is not included in note 16(d) below.</w:t>
      </w:r>
    </w:p>
    <w:p w:rsidR="00B83890" w:rsidRDefault="00B83890" w:rsidP="00B83890">
      <w:pPr>
        <w:pStyle w:val="MMLetterCopy"/>
        <w:jc w:val="both"/>
        <w:rPr>
          <w:b/>
          <w:color w:val="000000"/>
          <w:sz w:val="20"/>
        </w:rPr>
      </w:pPr>
    </w:p>
    <w:p w:rsidR="00B83890" w:rsidRPr="001E03B3" w:rsidRDefault="00B83890" w:rsidP="002F6ECA">
      <w:pPr>
        <w:pStyle w:val="Heading4"/>
        <w:rPr>
          <w:i/>
        </w:rPr>
      </w:pPr>
      <w:r>
        <w:t>16(c</w:t>
      </w:r>
      <w:r w:rsidRPr="001E03B3">
        <w:t>)</w:t>
      </w:r>
      <w:r>
        <w:rPr>
          <w:i/>
        </w:rPr>
        <w:t xml:space="preserve"> </w:t>
      </w:r>
      <w:r w:rsidRPr="00697B84">
        <w:t>Re</w:t>
      </w:r>
      <w:r w:rsidRPr="001E03B3">
        <w:t>lated party transactions</w:t>
      </w:r>
    </w:p>
    <w:p w:rsidR="00B83890" w:rsidRPr="0053729E" w:rsidRDefault="00B83890" w:rsidP="00B83890">
      <w:pPr>
        <w:pStyle w:val="TabletextheadingCentred"/>
        <w:ind w:left="4320" w:firstLine="720"/>
      </w:pPr>
      <w:r w:rsidRPr="0053729E">
        <w:t>($ thousand)</w:t>
      </w:r>
    </w:p>
    <w:tbl>
      <w:tblPr>
        <w:tblW w:w="8233" w:type="dxa"/>
        <w:tblLayout w:type="fixed"/>
        <w:tblCellMar>
          <w:left w:w="43" w:type="dxa"/>
          <w:right w:w="43" w:type="dxa"/>
        </w:tblCellMar>
        <w:tblLook w:val="0000" w:firstRow="0" w:lastRow="0" w:firstColumn="0" w:lastColumn="0" w:noHBand="0" w:noVBand="0"/>
        <w:tblCaption w:val="Responsiblte Persons: Related Party Transactions"/>
        <w:tblDescription w:val="This table shows Relate Party Transactions for 2012–13 with comparison to 2011–12."/>
      </w:tblPr>
      <w:tblGrid>
        <w:gridCol w:w="6163"/>
        <w:gridCol w:w="1035"/>
        <w:gridCol w:w="1035"/>
      </w:tblGrid>
      <w:tr w:rsidR="00B83890" w:rsidRPr="0053729E" w:rsidTr="006E6DC8">
        <w:trPr>
          <w:cantSplit/>
        </w:trPr>
        <w:tc>
          <w:tcPr>
            <w:tcW w:w="6163" w:type="dxa"/>
            <w:tcBorders>
              <w:top w:val="single" w:sz="6" w:space="0" w:color="auto"/>
              <w:bottom w:val="single" w:sz="6" w:space="0" w:color="auto"/>
            </w:tcBorders>
            <w:vAlign w:val="center"/>
          </w:tcPr>
          <w:p w:rsidR="00B83890" w:rsidRPr="0053729E" w:rsidRDefault="00B83890" w:rsidP="006E6DC8">
            <w:pPr>
              <w:pStyle w:val="TableText"/>
              <w:rPr>
                <w:sz w:val="20"/>
                <w:szCs w:val="20"/>
              </w:rPr>
            </w:pPr>
          </w:p>
        </w:tc>
        <w:tc>
          <w:tcPr>
            <w:tcW w:w="1035" w:type="dxa"/>
            <w:tcBorders>
              <w:top w:val="single" w:sz="6" w:space="0" w:color="auto"/>
              <w:left w:val="nil"/>
              <w:bottom w:val="single" w:sz="6" w:space="0" w:color="auto"/>
            </w:tcBorders>
            <w:shd w:val="clear" w:color="auto" w:fill="D9D9D9"/>
            <w:vAlign w:val="bottom"/>
          </w:tcPr>
          <w:p w:rsidR="00B83890" w:rsidRPr="0053729E" w:rsidRDefault="00B83890" w:rsidP="006E6DC8">
            <w:pPr>
              <w:pStyle w:val="Tabletextheading"/>
              <w:rPr>
                <w:rFonts w:cs="Arial"/>
                <w:sz w:val="20"/>
              </w:rPr>
            </w:pPr>
            <w:r w:rsidRPr="0053729E">
              <w:rPr>
                <w:rFonts w:cs="Arial"/>
                <w:sz w:val="20"/>
              </w:rPr>
              <w:t>2013</w:t>
            </w:r>
          </w:p>
        </w:tc>
        <w:tc>
          <w:tcPr>
            <w:tcW w:w="1035" w:type="dxa"/>
            <w:tcBorders>
              <w:top w:val="single" w:sz="6" w:space="0" w:color="auto"/>
              <w:left w:val="nil"/>
              <w:bottom w:val="single" w:sz="6" w:space="0" w:color="auto"/>
              <w:right w:val="nil"/>
            </w:tcBorders>
            <w:vAlign w:val="bottom"/>
          </w:tcPr>
          <w:p w:rsidR="00B83890" w:rsidRPr="0053729E" w:rsidRDefault="00B83890" w:rsidP="006E6DC8">
            <w:pPr>
              <w:pStyle w:val="Tabletextheading"/>
              <w:rPr>
                <w:rFonts w:cs="Arial"/>
                <w:sz w:val="20"/>
              </w:rPr>
            </w:pPr>
            <w:r w:rsidRPr="0053729E">
              <w:rPr>
                <w:rFonts w:cs="Arial"/>
                <w:sz w:val="20"/>
              </w:rPr>
              <w:t>2012</w:t>
            </w:r>
          </w:p>
        </w:tc>
      </w:tr>
      <w:tr w:rsidR="00B83890" w:rsidRPr="0053729E" w:rsidTr="006E6DC8">
        <w:trPr>
          <w:cantSplit/>
        </w:trPr>
        <w:tc>
          <w:tcPr>
            <w:tcW w:w="6163" w:type="dxa"/>
            <w:tcBorders>
              <w:top w:val="single" w:sz="6" w:space="0" w:color="auto"/>
            </w:tcBorders>
            <w:vAlign w:val="center"/>
          </w:tcPr>
          <w:p w:rsidR="00B83890" w:rsidRPr="0053729E" w:rsidRDefault="00B83890" w:rsidP="006E6DC8">
            <w:pPr>
              <w:pStyle w:val="TableText"/>
              <w:rPr>
                <w:sz w:val="20"/>
                <w:szCs w:val="20"/>
              </w:rPr>
            </w:pPr>
            <w:r w:rsidRPr="0053729E">
              <w:rPr>
                <w:sz w:val="20"/>
                <w:szCs w:val="20"/>
              </w:rPr>
              <w:t>Professor Margaret Gardner AO</w:t>
            </w:r>
          </w:p>
        </w:tc>
        <w:tc>
          <w:tcPr>
            <w:tcW w:w="1035" w:type="dxa"/>
            <w:tcBorders>
              <w:top w:val="single" w:sz="6" w:space="0" w:color="auto"/>
              <w:left w:val="nil"/>
            </w:tcBorders>
            <w:shd w:val="clear" w:color="auto" w:fill="D9D9D9"/>
          </w:tcPr>
          <w:p w:rsidR="00B83890" w:rsidRPr="0053729E" w:rsidRDefault="00B83890" w:rsidP="006E6DC8">
            <w:pPr>
              <w:pStyle w:val="TableofFigures1"/>
              <w:rPr>
                <w:rFonts w:ascii="Arial" w:hAnsi="Arial"/>
                <w:sz w:val="20"/>
                <w:szCs w:val="20"/>
              </w:rPr>
            </w:pPr>
          </w:p>
        </w:tc>
        <w:tc>
          <w:tcPr>
            <w:tcW w:w="1035" w:type="dxa"/>
            <w:tcBorders>
              <w:top w:val="single" w:sz="6" w:space="0" w:color="auto"/>
              <w:left w:val="nil"/>
              <w:right w:val="nil"/>
            </w:tcBorders>
          </w:tcPr>
          <w:p w:rsidR="00B83890" w:rsidRPr="0053729E" w:rsidRDefault="00B83890" w:rsidP="006E6DC8">
            <w:pPr>
              <w:pStyle w:val="TableofFigures1"/>
              <w:rPr>
                <w:rFonts w:ascii="Arial" w:hAnsi="Arial"/>
                <w:sz w:val="20"/>
                <w:szCs w:val="20"/>
              </w:rPr>
            </w:pPr>
          </w:p>
        </w:tc>
      </w:tr>
      <w:tr w:rsidR="00B83890" w:rsidRPr="0053729E" w:rsidTr="006E6DC8">
        <w:trPr>
          <w:cantSplit/>
        </w:trPr>
        <w:tc>
          <w:tcPr>
            <w:tcW w:w="6163" w:type="dxa"/>
            <w:vAlign w:val="center"/>
          </w:tcPr>
          <w:p w:rsidR="00B83890" w:rsidRPr="0053729E" w:rsidRDefault="00B83890" w:rsidP="006E6DC8">
            <w:pPr>
              <w:pStyle w:val="TableText"/>
              <w:rPr>
                <w:sz w:val="20"/>
                <w:szCs w:val="20"/>
              </w:rPr>
            </w:pPr>
            <w:r w:rsidRPr="0053729E">
              <w:rPr>
                <w:sz w:val="20"/>
                <w:szCs w:val="20"/>
              </w:rPr>
              <w:t xml:space="preserve">Purchases from RMIT for training course fees and venue hire refund </w:t>
            </w:r>
          </w:p>
        </w:tc>
        <w:tc>
          <w:tcPr>
            <w:tcW w:w="1035" w:type="dxa"/>
            <w:shd w:val="clear" w:color="auto" w:fill="D9D9D9"/>
          </w:tcPr>
          <w:p w:rsidR="00B83890" w:rsidRPr="0053729E" w:rsidRDefault="00B83890" w:rsidP="006E6DC8">
            <w:pPr>
              <w:pStyle w:val="TableofFigures1"/>
              <w:rPr>
                <w:rFonts w:ascii="Arial" w:hAnsi="Arial"/>
                <w:sz w:val="20"/>
                <w:szCs w:val="20"/>
              </w:rPr>
            </w:pPr>
            <w:r w:rsidRPr="0053729E">
              <w:rPr>
                <w:rFonts w:ascii="Arial" w:hAnsi="Arial"/>
                <w:sz w:val="20"/>
                <w:szCs w:val="20"/>
              </w:rPr>
              <w:t>0</w:t>
            </w:r>
          </w:p>
        </w:tc>
        <w:tc>
          <w:tcPr>
            <w:tcW w:w="1035" w:type="dxa"/>
          </w:tcPr>
          <w:p w:rsidR="00B83890" w:rsidRPr="0053729E" w:rsidRDefault="00B83890" w:rsidP="006E6DC8">
            <w:pPr>
              <w:pStyle w:val="TableofFigures1"/>
              <w:rPr>
                <w:rFonts w:ascii="Arial" w:hAnsi="Arial"/>
                <w:sz w:val="20"/>
                <w:szCs w:val="20"/>
              </w:rPr>
            </w:pPr>
            <w:r w:rsidRPr="0053729E">
              <w:rPr>
                <w:rFonts w:ascii="Arial" w:hAnsi="Arial"/>
                <w:sz w:val="20"/>
                <w:szCs w:val="20"/>
              </w:rPr>
              <w:t>14</w:t>
            </w:r>
          </w:p>
        </w:tc>
      </w:tr>
      <w:tr w:rsidR="00B83890" w:rsidRPr="0053729E" w:rsidTr="006E6DC8">
        <w:trPr>
          <w:cantSplit/>
        </w:trPr>
        <w:tc>
          <w:tcPr>
            <w:tcW w:w="6163" w:type="dxa"/>
            <w:vAlign w:val="center"/>
          </w:tcPr>
          <w:p w:rsidR="00B83890" w:rsidRPr="0053729E" w:rsidRDefault="00B83890" w:rsidP="006E6DC8">
            <w:pPr>
              <w:pStyle w:val="TableText"/>
              <w:rPr>
                <w:sz w:val="20"/>
                <w:szCs w:val="20"/>
              </w:rPr>
            </w:pPr>
            <w:r w:rsidRPr="0053729E">
              <w:rPr>
                <w:sz w:val="20"/>
                <w:szCs w:val="20"/>
              </w:rPr>
              <w:t>Fees from RMIT for museum admissions and public programs (less than $1,000)</w:t>
            </w:r>
          </w:p>
        </w:tc>
        <w:tc>
          <w:tcPr>
            <w:tcW w:w="1035" w:type="dxa"/>
            <w:shd w:val="clear" w:color="auto" w:fill="D9D9D9"/>
          </w:tcPr>
          <w:p w:rsidR="00B83890" w:rsidRPr="0053729E" w:rsidRDefault="00B83890" w:rsidP="006E6DC8">
            <w:pPr>
              <w:pStyle w:val="TableofFigures1"/>
              <w:rPr>
                <w:rFonts w:ascii="Arial" w:hAnsi="Arial"/>
                <w:sz w:val="20"/>
                <w:szCs w:val="20"/>
              </w:rPr>
            </w:pPr>
            <w:r w:rsidRPr="0053729E">
              <w:rPr>
                <w:rFonts w:ascii="Arial" w:hAnsi="Arial"/>
                <w:sz w:val="20"/>
                <w:szCs w:val="20"/>
              </w:rPr>
              <w:t>0</w:t>
            </w:r>
          </w:p>
        </w:tc>
        <w:tc>
          <w:tcPr>
            <w:tcW w:w="1035" w:type="dxa"/>
          </w:tcPr>
          <w:p w:rsidR="00B83890" w:rsidRPr="0053729E" w:rsidRDefault="00B83890" w:rsidP="006E6DC8">
            <w:pPr>
              <w:pStyle w:val="TableofFigures1"/>
              <w:rPr>
                <w:rFonts w:ascii="Arial" w:hAnsi="Arial"/>
                <w:sz w:val="20"/>
                <w:szCs w:val="20"/>
              </w:rPr>
            </w:pPr>
            <w:r w:rsidRPr="0053729E">
              <w:rPr>
                <w:rFonts w:ascii="Arial" w:hAnsi="Arial"/>
                <w:sz w:val="20"/>
                <w:szCs w:val="20"/>
              </w:rPr>
              <w:t>0</w:t>
            </w:r>
          </w:p>
        </w:tc>
      </w:tr>
      <w:tr w:rsidR="00B83890" w:rsidRPr="0053729E" w:rsidTr="006E6DC8">
        <w:trPr>
          <w:cantSplit/>
        </w:trPr>
        <w:tc>
          <w:tcPr>
            <w:tcW w:w="6163" w:type="dxa"/>
            <w:tcBorders>
              <w:top w:val="single" w:sz="6" w:space="0" w:color="auto"/>
              <w:bottom w:val="single" w:sz="12" w:space="0" w:color="auto"/>
            </w:tcBorders>
            <w:vAlign w:val="center"/>
          </w:tcPr>
          <w:p w:rsidR="00B83890" w:rsidRPr="0053729E" w:rsidRDefault="00B83890" w:rsidP="006E6DC8">
            <w:pPr>
              <w:pStyle w:val="TableText"/>
              <w:rPr>
                <w:b/>
                <w:sz w:val="20"/>
                <w:szCs w:val="20"/>
              </w:rPr>
            </w:pPr>
            <w:r w:rsidRPr="0053729E">
              <w:rPr>
                <w:b/>
                <w:sz w:val="20"/>
                <w:szCs w:val="20"/>
              </w:rPr>
              <w:t>Total</w:t>
            </w:r>
          </w:p>
        </w:tc>
        <w:tc>
          <w:tcPr>
            <w:tcW w:w="1035" w:type="dxa"/>
            <w:tcBorders>
              <w:top w:val="single" w:sz="6" w:space="0" w:color="auto"/>
              <w:bottom w:val="single" w:sz="12" w:space="0" w:color="auto"/>
            </w:tcBorders>
            <w:shd w:val="clear" w:color="auto" w:fill="D9D9D9"/>
          </w:tcPr>
          <w:p w:rsidR="00B83890" w:rsidRPr="0053729E" w:rsidRDefault="00B83890" w:rsidP="006E6DC8">
            <w:pPr>
              <w:pStyle w:val="TableofFigures1"/>
              <w:rPr>
                <w:rFonts w:ascii="Arial" w:hAnsi="Arial"/>
                <w:b/>
                <w:sz w:val="20"/>
                <w:szCs w:val="20"/>
              </w:rPr>
            </w:pPr>
            <w:r w:rsidRPr="0053729E">
              <w:rPr>
                <w:rFonts w:ascii="Arial" w:hAnsi="Arial"/>
                <w:b/>
                <w:sz w:val="20"/>
                <w:szCs w:val="20"/>
              </w:rPr>
              <w:t>0</w:t>
            </w:r>
          </w:p>
        </w:tc>
        <w:tc>
          <w:tcPr>
            <w:tcW w:w="1035" w:type="dxa"/>
            <w:tcBorders>
              <w:top w:val="single" w:sz="6" w:space="0" w:color="auto"/>
              <w:bottom w:val="single" w:sz="12" w:space="0" w:color="auto"/>
            </w:tcBorders>
          </w:tcPr>
          <w:p w:rsidR="00B83890" w:rsidRPr="0053729E" w:rsidRDefault="00B83890" w:rsidP="006E6DC8">
            <w:pPr>
              <w:pStyle w:val="TableofFigures1"/>
              <w:rPr>
                <w:rFonts w:ascii="Arial" w:hAnsi="Arial"/>
                <w:b/>
                <w:sz w:val="20"/>
                <w:szCs w:val="20"/>
              </w:rPr>
            </w:pPr>
            <w:r w:rsidRPr="0053729E">
              <w:rPr>
                <w:rFonts w:ascii="Arial" w:hAnsi="Arial"/>
                <w:b/>
                <w:sz w:val="20"/>
                <w:szCs w:val="20"/>
              </w:rPr>
              <w:t>14</w:t>
            </w:r>
          </w:p>
        </w:tc>
      </w:tr>
    </w:tbl>
    <w:p w:rsidR="00B83890" w:rsidRPr="0053729E" w:rsidRDefault="00B83890" w:rsidP="00B83890">
      <w:pPr>
        <w:rPr>
          <w:rFonts w:cs="Arial"/>
          <w:sz w:val="20"/>
          <w:szCs w:val="20"/>
          <w:lang w:val="en-GB"/>
        </w:rPr>
      </w:pPr>
    </w:p>
    <w:tbl>
      <w:tblPr>
        <w:tblW w:w="8233" w:type="dxa"/>
        <w:tblLayout w:type="fixed"/>
        <w:tblCellMar>
          <w:left w:w="43" w:type="dxa"/>
          <w:right w:w="43" w:type="dxa"/>
        </w:tblCellMar>
        <w:tblLook w:val="0000" w:firstRow="0" w:lastRow="0" w:firstColumn="0" w:lastColumn="0" w:noHBand="0" w:noVBand="0"/>
        <w:tblCaption w:val="Responsible Persons: Related Party Transactions"/>
        <w:tblDescription w:val="This table shows Related Party Transactions for 2012–13 with comparison to 2011–12."/>
      </w:tblPr>
      <w:tblGrid>
        <w:gridCol w:w="6163"/>
        <w:gridCol w:w="1035"/>
        <w:gridCol w:w="1035"/>
      </w:tblGrid>
      <w:tr w:rsidR="00B83890" w:rsidRPr="0053729E" w:rsidTr="006E6DC8">
        <w:trPr>
          <w:cantSplit/>
        </w:trPr>
        <w:tc>
          <w:tcPr>
            <w:tcW w:w="6163" w:type="dxa"/>
            <w:tcBorders>
              <w:top w:val="single" w:sz="6" w:space="0" w:color="auto"/>
              <w:bottom w:val="single" w:sz="6" w:space="0" w:color="auto"/>
            </w:tcBorders>
            <w:vAlign w:val="center"/>
          </w:tcPr>
          <w:p w:rsidR="00B83890" w:rsidRPr="0053729E" w:rsidRDefault="00B83890" w:rsidP="006E6DC8">
            <w:pPr>
              <w:pStyle w:val="TableText"/>
              <w:rPr>
                <w:sz w:val="20"/>
                <w:szCs w:val="20"/>
              </w:rPr>
            </w:pPr>
          </w:p>
        </w:tc>
        <w:tc>
          <w:tcPr>
            <w:tcW w:w="1035" w:type="dxa"/>
            <w:tcBorders>
              <w:top w:val="single" w:sz="6" w:space="0" w:color="auto"/>
              <w:left w:val="nil"/>
              <w:bottom w:val="single" w:sz="6" w:space="0" w:color="auto"/>
            </w:tcBorders>
            <w:shd w:val="clear" w:color="auto" w:fill="D9D9D9"/>
            <w:vAlign w:val="bottom"/>
          </w:tcPr>
          <w:p w:rsidR="00B83890" w:rsidRPr="0053729E" w:rsidRDefault="00B83890" w:rsidP="006E6DC8">
            <w:pPr>
              <w:pStyle w:val="Tabletextheading"/>
              <w:rPr>
                <w:rFonts w:cs="Arial"/>
                <w:sz w:val="20"/>
              </w:rPr>
            </w:pPr>
            <w:r w:rsidRPr="0053729E">
              <w:rPr>
                <w:rFonts w:cs="Arial"/>
                <w:sz w:val="20"/>
              </w:rPr>
              <w:t>2013</w:t>
            </w:r>
          </w:p>
        </w:tc>
        <w:tc>
          <w:tcPr>
            <w:tcW w:w="1035" w:type="dxa"/>
            <w:tcBorders>
              <w:top w:val="single" w:sz="6" w:space="0" w:color="auto"/>
              <w:left w:val="nil"/>
              <w:bottom w:val="single" w:sz="6" w:space="0" w:color="auto"/>
              <w:right w:val="nil"/>
            </w:tcBorders>
            <w:vAlign w:val="bottom"/>
          </w:tcPr>
          <w:p w:rsidR="00B83890" w:rsidRPr="0053729E" w:rsidRDefault="00B83890" w:rsidP="006E6DC8">
            <w:pPr>
              <w:pStyle w:val="Tabletextheading"/>
              <w:rPr>
                <w:rFonts w:cs="Arial"/>
                <w:sz w:val="20"/>
              </w:rPr>
            </w:pPr>
            <w:r w:rsidRPr="0053729E">
              <w:rPr>
                <w:rFonts w:cs="Arial"/>
                <w:sz w:val="20"/>
              </w:rPr>
              <w:t>2012</w:t>
            </w:r>
          </w:p>
        </w:tc>
      </w:tr>
      <w:tr w:rsidR="00B83890" w:rsidRPr="0053729E" w:rsidTr="006E6DC8">
        <w:trPr>
          <w:cantSplit/>
        </w:trPr>
        <w:tc>
          <w:tcPr>
            <w:tcW w:w="6163" w:type="dxa"/>
            <w:tcBorders>
              <w:top w:val="single" w:sz="6" w:space="0" w:color="auto"/>
            </w:tcBorders>
            <w:vAlign w:val="center"/>
          </w:tcPr>
          <w:p w:rsidR="00B83890" w:rsidRPr="0053729E" w:rsidRDefault="00B83890" w:rsidP="006E6DC8">
            <w:pPr>
              <w:pStyle w:val="TableText"/>
              <w:rPr>
                <w:sz w:val="20"/>
                <w:szCs w:val="20"/>
              </w:rPr>
            </w:pPr>
            <w:r w:rsidRPr="0053729E">
              <w:rPr>
                <w:sz w:val="20"/>
                <w:szCs w:val="20"/>
              </w:rPr>
              <w:t>Mr Tim Sullivan</w:t>
            </w:r>
          </w:p>
        </w:tc>
        <w:tc>
          <w:tcPr>
            <w:tcW w:w="1035" w:type="dxa"/>
            <w:tcBorders>
              <w:top w:val="single" w:sz="6" w:space="0" w:color="auto"/>
              <w:left w:val="nil"/>
            </w:tcBorders>
            <w:shd w:val="clear" w:color="auto" w:fill="D9D9D9"/>
          </w:tcPr>
          <w:p w:rsidR="00B83890" w:rsidRPr="0053729E" w:rsidRDefault="00B83890" w:rsidP="006E6DC8">
            <w:pPr>
              <w:pStyle w:val="TableofFigures1"/>
              <w:rPr>
                <w:rFonts w:ascii="Arial" w:hAnsi="Arial"/>
                <w:sz w:val="20"/>
                <w:szCs w:val="20"/>
              </w:rPr>
            </w:pPr>
          </w:p>
        </w:tc>
        <w:tc>
          <w:tcPr>
            <w:tcW w:w="1035" w:type="dxa"/>
            <w:tcBorders>
              <w:top w:val="single" w:sz="6" w:space="0" w:color="auto"/>
              <w:left w:val="nil"/>
              <w:right w:val="nil"/>
            </w:tcBorders>
          </w:tcPr>
          <w:p w:rsidR="00B83890" w:rsidRPr="0053729E" w:rsidRDefault="00B83890" w:rsidP="006E6DC8">
            <w:pPr>
              <w:pStyle w:val="TableofFigures1"/>
              <w:rPr>
                <w:rFonts w:ascii="Arial" w:hAnsi="Arial"/>
                <w:sz w:val="20"/>
                <w:szCs w:val="20"/>
              </w:rPr>
            </w:pPr>
          </w:p>
        </w:tc>
      </w:tr>
      <w:tr w:rsidR="00B83890" w:rsidRPr="0053729E" w:rsidTr="006E6DC8">
        <w:trPr>
          <w:cantSplit/>
        </w:trPr>
        <w:tc>
          <w:tcPr>
            <w:tcW w:w="6163" w:type="dxa"/>
            <w:vAlign w:val="center"/>
          </w:tcPr>
          <w:p w:rsidR="00B83890" w:rsidRPr="0053729E" w:rsidRDefault="00B83890" w:rsidP="006E6DC8">
            <w:pPr>
              <w:pStyle w:val="TableText"/>
              <w:rPr>
                <w:sz w:val="20"/>
                <w:szCs w:val="20"/>
              </w:rPr>
            </w:pPr>
            <w:r w:rsidRPr="0053729E">
              <w:rPr>
                <w:sz w:val="20"/>
                <w:szCs w:val="20"/>
              </w:rPr>
              <w:t xml:space="preserve">Purchases from Sovereign Hill for retail shop stock and venue hire </w:t>
            </w:r>
          </w:p>
        </w:tc>
        <w:tc>
          <w:tcPr>
            <w:tcW w:w="1035" w:type="dxa"/>
            <w:shd w:val="clear" w:color="auto" w:fill="D9D9D9"/>
          </w:tcPr>
          <w:p w:rsidR="00B83890" w:rsidRPr="0053729E" w:rsidRDefault="00B83890" w:rsidP="006E6DC8">
            <w:pPr>
              <w:pStyle w:val="TableofFigures1"/>
              <w:rPr>
                <w:rFonts w:ascii="Arial" w:hAnsi="Arial"/>
                <w:sz w:val="20"/>
                <w:szCs w:val="20"/>
              </w:rPr>
            </w:pPr>
            <w:r w:rsidRPr="0053729E">
              <w:rPr>
                <w:rFonts w:ascii="Arial" w:hAnsi="Arial"/>
                <w:sz w:val="20"/>
                <w:szCs w:val="20"/>
              </w:rPr>
              <w:t>0</w:t>
            </w:r>
          </w:p>
        </w:tc>
        <w:tc>
          <w:tcPr>
            <w:tcW w:w="1035" w:type="dxa"/>
          </w:tcPr>
          <w:p w:rsidR="00B83890" w:rsidRPr="0053729E" w:rsidRDefault="00B83890" w:rsidP="006E6DC8">
            <w:pPr>
              <w:pStyle w:val="TableofFigures1"/>
              <w:rPr>
                <w:rFonts w:ascii="Arial" w:hAnsi="Arial"/>
                <w:sz w:val="20"/>
                <w:szCs w:val="20"/>
              </w:rPr>
            </w:pPr>
            <w:r w:rsidRPr="0053729E">
              <w:rPr>
                <w:rFonts w:ascii="Arial" w:hAnsi="Arial"/>
                <w:sz w:val="20"/>
                <w:szCs w:val="20"/>
              </w:rPr>
              <w:t>4</w:t>
            </w:r>
          </w:p>
        </w:tc>
      </w:tr>
      <w:tr w:rsidR="00B83890" w:rsidRPr="0053729E" w:rsidTr="006E6DC8">
        <w:trPr>
          <w:cantSplit/>
        </w:trPr>
        <w:tc>
          <w:tcPr>
            <w:tcW w:w="6163" w:type="dxa"/>
            <w:tcBorders>
              <w:top w:val="single" w:sz="6" w:space="0" w:color="auto"/>
              <w:bottom w:val="single" w:sz="12" w:space="0" w:color="auto"/>
            </w:tcBorders>
            <w:vAlign w:val="center"/>
          </w:tcPr>
          <w:p w:rsidR="00B83890" w:rsidRPr="0053729E" w:rsidRDefault="00B83890" w:rsidP="006E6DC8">
            <w:pPr>
              <w:pStyle w:val="TableText"/>
              <w:rPr>
                <w:b/>
                <w:sz w:val="20"/>
                <w:szCs w:val="20"/>
              </w:rPr>
            </w:pPr>
            <w:r w:rsidRPr="0053729E">
              <w:rPr>
                <w:b/>
                <w:sz w:val="20"/>
                <w:szCs w:val="20"/>
              </w:rPr>
              <w:t>Total</w:t>
            </w:r>
          </w:p>
        </w:tc>
        <w:tc>
          <w:tcPr>
            <w:tcW w:w="1035" w:type="dxa"/>
            <w:tcBorders>
              <w:top w:val="single" w:sz="6" w:space="0" w:color="auto"/>
              <w:bottom w:val="single" w:sz="12" w:space="0" w:color="auto"/>
            </w:tcBorders>
            <w:shd w:val="clear" w:color="auto" w:fill="D9D9D9"/>
          </w:tcPr>
          <w:p w:rsidR="00B83890" w:rsidRPr="0053729E" w:rsidRDefault="00B83890" w:rsidP="006E6DC8">
            <w:pPr>
              <w:pStyle w:val="TableofFigures1"/>
              <w:rPr>
                <w:rFonts w:ascii="Arial" w:hAnsi="Arial"/>
                <w:b/>
                <w:sz w:val="20"/>
                <w:szCs w:val="20"/>
              </w:rPr>
            </w:pPr>
            <w:r w:rsidRPr="0053729E">
              <w:rPr>
                <w:rFonts w:ascii="Arial" w:hAnsi="Arial"/>
                <w:b/>
                <w:sz w:val="20"/>
                <w:szCs w:val="20"/>
              </w:rPr>
              <w:t>0</w:t>
            </w:r>
          </w:p>
        </w:tc>
        <w:tc>
          <w:tcPr>
            <w:tcW w:w="1035" w:type="dxa"/>
            <w:tcBorders>
              <w:top w:val="single" w:sz="6" w:space="0" w:color="auto"/>
              <w:bottom w:val="single" w:sz="12" w:space="0" w:color="auto"/>
            </w:tcBorders>
          </w:tcPr>
          <w:p w:rsidR="00B83890" w:rsidRPr="0053729E" w:rsidRDefault="00B83890" w:rsidP="006E6DC8">
            <w:pPr>
              <w:pStyle w:val="TableofFigures1"/>
              <w:rPr>
                <w:rFonts w:ascii="Arial" w:hAnsi="Arial"/>
                <w:b/>
                <w:sz w:val="20"/>
                <w:szCs w:val="20"/>
              </w:rPr>
            </w:pPr>
            <w:r w:rsidRPr="0053729E">
              <w:rPr>
                <w:rFonts w:ascii="Arial" w:hAnsi="Arial"/>
                <w:b/>
                <w:sz w:val="20"/>
                <w:szCs w:val="20"/>
              </w:rPr>
              <w:t>4</w:t>
            </w:r>
          </w:p>
        </w:tc>
      </w:tr>
    </w:tbl>
    <w:p w:rsidR="00513943" w:rsidRDefault="009C1080" w:rsidP="00513943">
      <w:pPr>
        <w:pStyle w:val="Heading2"/>
        <w:ind w:left="352" w:hanging="352"/>
        <w:rPr>
          <w:sz w:val="22"/>
          <w:szCs w:val="22"/>
        </w:rPr>
      </w:pPr>
      <w:r>
        <w:rPr>
          <w:sz w:val="22"/>
          <w:szCs w:val="22"/>
        </w:rPr>
        <w:lastRenderedPageBreak/>
        <w:t>16</w:t>
      </w:r>
      <w:r w:rsidR="00513943" w:rsidRPr="000D6558">
        <w:rPr>
          <w:sz w:val="22"/>
          <w:szCs w:val="22"/>
        </w:rPr>
        <w:t>.</w:t>
      </w:r>
      <w:r w:rsidR="00513943" w:rsidRPr="000D6558">
        <w:rPr>
          <w:sz w:val="22"/>
          <w:szCs w:val="22"/>
        </w:rPr>
        <w:tab/>
      </w:r>
      <w:r w:rsidR="00513943">
        <w:rPr>
          <w:sz w:val="22"/>
          <w:szCs w:val="22"/>
        </w:rPr>
        <w:t xml:space="preserve">RESPONSIBLE PERSONS </w:t>
      </w:r>
      <w:r w:rsidR="00513943" w:rsidRPr="000D6558">
        <w:rPr>
          <w:sz w:val="22"/>
          <w:szCs w:val="22"/>
        </w:rPr>
        <w:t>(CONT’D)</w:t>
      </w:r>
    </w:p>
    <w:p w:rsidR="002F6ECA" w:rsidRDefault="002F6ECA" w:rsidP="002F6ECA">
      <w:pPr>
        <w:pStyle w:val="Heading4"/>
        <w:rPr>
          <w:lang w:val="en-GB"/>
        </w:rPr>
      </w:pPr>
    </w:p>
    <w:p w:rsidR="00B83890" w:rsidRPr="00EA568B" w:rsidRDefault="00B83890" w:rsidP="002F6ECA">
      <w:pPr>
        <w:pStyle w:val="Heading4"/>
        <w:rPr>
          <w:lang w:val="en-GB"/>
        </w:rPr>
      </w:pPr>
      <w:r w:rsidRPr="00EA568B">
        <w:rPr>
          <w:lang w:val="en-GB"/>
        </w:rPr>
        <w:t>16(d) Executive Officer Remuneration</w:t>
      </w:r>
    </w:p>
    <w:p w:rsidR="00B83890" w:rsidRPr="00EA568B" w:rsidRDefault="00B83890" w:rsidP="00B83890">
      <w:pPr>
        <w:rPr>
          <w:b/>
          <w:color w:val="000000"/>
          <w:lang w:val="en-GB"/>
        </w:rPr>
      </w:pPr>
    </w:p>
    <w:tbl>
      <w:tblPr>
        <w:tblW w:w="8559" w:type="dxa"/>
        <w:tblLook w:val="00A0" w:firstRow="1" w:lastRow="0" w:firstColumn="1" w:lastColumn="0" w:noHBand="0" w:noVBand="0"/>
        <w:tblCaption w:val="Responsible Persons: Executive Officer Remuneration"/>
        <w:tblDescription w:val="This table shows Executive Officer Remuneration for 2012–13 with comparison to 2011–12."/>
      </w:tblPr>
      <w:tblGrid>
        <w:gridCol w:w="3407"/>
        <w:gridCol w:w="1219"/>
        <w:gridCol w:w="1319"/>
        <w:gridCol w:w="236"/>
        <w:gridCol w:w="1199"/>
        <w:gridCol w:w="1179"/>
      </w:tblGrid>
      <w:tr w:rsidR="00B83890" w:rsidRPr="00EA568B" w:rsidTr="006E6DC8">
        <w:trPr>
          <w:trHeight w:val="285"/>
        </w:trPr>
        <w:tc>
          <w:tcPr>
            <w:tcW w:w="3407" w:type="dxa"/>
          </w:tcPr>
          <w:p w:rsidR="00B83890" w:rsidRPr="00EA568B" w:rsidRDefault="00B83890" w:rsidP="006E6DC8">
            <w:pPr>
              <w:jc w:val="center"/>
              <w:rPr>
                <w:rFonts w:cs="Arial"/>
                <w:b/>
                <w:bCs/>
                <w:color w:val="000000"/>
              </w:rPr>
            </w:pPr>
            <w:r w:rsidRPr="00EA568B">
              <w:rPr>
                <w:rFonts w:cs="Arial"/>
                <w:b/>
                <w:bCs/>
                <w:color w:val="000000"/>
              </w:rPr>
              <w:t>Income Band</w:t>
            </w:r>
          </w:p>
        </w:tc>
        <w:tc>
          <w:tcPr>
            <w:tcW w:w="2538" w:type="dxa"/>
            <w:gridSpan w:val="2"/>
          </w:tcPr>
          <w:p w:rsidR="00B83890" w:rsidRPr="00EA568B" w:rsidRDefault="00B83890" w:rsidP="006E6DC8">
            <w:pPr>
              <w:jc w:val="center"/>
              <w:rPr>
                <w:rFonts w:cs="Arial"/>
                <w:b/>
                <w:bCs/>
                <w:color w:val="000000"/>
              </w:rPr>
            </w:pPr>
            <w:r w:rsidRPr="00EA568B">
              <w:rPr>
                <w:rFonts w:cs="Arial"/>
                <w:b/>
                <w:bCs/>
                <w:color w:val="000000"/>
              </w:rPr>
              <w:t>Total Remuneration</w:t>
            </w:r>
          </w:p>
        </w:tc>
        <w:tc>
          <w:tcPr>
            <w:tcW w:w="236" w:type="dxa"/>
            <w:noWrap/>
          </w:tcPr>
          <w:p w:rsidR="00B83890" w:rsidRPr="00EA568B" w:rsidRDefault="00B83890" w:rsidP="006E6DC8">
            <w:pPr>
              <w:rPr>
                <w:rFonts w:cs="Arial"/>
                <w:color w:val="000000"/>
              </w:rPr>
            </w:pPr>
          </w:p>
        </w:tc>
        <w:tc>
          <w:tcPr>
            <w:tcW w:w="2378" w:type="dxa"/>
            <w:gridSpan w:val="2"/>
          </w:tcPr>
          <w:p w:rsidR="00B83890" w:rsidRPr="00EA568B" w:rsidRDefault="00B83890" w:rsidP="006E6DC8">
            <w:pPr>
              <w:jc w:val="center"/>
              <w:rPr>
                <w:rFonts w:cs="Arial"/>
                <w:b/>
                <w:bCs/>
                <w:color w:val="000000"/>
              </w:rPr>
            </w:pPr>
            <w:r w:rsidRPr="00EA568B">
              <w:rPr>
                <w:rFonts w:cs="Arial"/>
                <w:b/>
                <w:bCs/>
                <w:color w:val="000000"/>
              </w:rPr>
              <w:t>Base Remuneration</w:t>
            </w:r>
          </w:p>
        </w:tc>
      </w:tr>
      <w:tr w:rsidR="00B83890" w:rsidRPr="00EA568B" w:rsidTr="006E6DC8">
        <w:trPr>
          <w:trHeight w:val="285"/>
        </w:trPr>
        <w:tc>
          <w:tcPr>
            <w:tcW w:w="3407" w:type="dxa"/>
          </w:tcPr>
          <w:p w:rsidR="00B83890" w:rsidRPr="00EA568B" w:rsidRDefault="00B83890" w:rsidP="006E6DC8">
            <w:pPr>
              <w:jc w:val="center"/>
              <w:rPr>
                <w:rFonts w:cs="Arial"/>
                <w:color w:val="000000"/>
              </w:rPr>
            </w:pPr>
          </w:p>
        </w:tc>
        <w:tc>
          <w:tcPr>
            <w:tcW w:w="1219" w:type="dxa"/>
          </w:tcPr>
          <w:p w:rsidR="00B83890" w:rsidRPr="00EA568B" w:rsidRDefault="00B83890" w:rsidP="006E6DC8">
            <w:pPr>
              <w:jc w:val="right"/>
              <w:rPr>
                <w:rFonts w:cs="Arial"/>
                <w:color w:val="000000"/>
              </w:rPr>
            </w:pPr>
            <w:r>
              <w:rPr>
                <w:rFonts w:cs="Arial"/>
                <w:color w:val="000000"/>
              </w:rPr>
              <w:t>2013</w:t>
            </w:r>
          </w:p>
        </w:tc>
        <w:tc>
          <w:tcPr>
            <w:tcW w:w="1319" w:type="dxa"/>
          </w:tcPr>
          <w:p w:rsidR="00B83890" w:rsidRPr="00EA568B" w:rsidRDefault="00B83890" w:rsidP="006E6DC8">
            <w:pPr>
              <w:jc w:val="right"/>
              <w:rPr>
                <w:rFonts w:cs="Arial"/>
                <w:color w:val="000000"/>
              </w:rPr>
            </w:pPr>
            <w:r>
              <w:rPr>
                <w:rFonts w:cs="Arial"/>
                <w:color w:val="000000"/>
              </w:rPr>
              <w:t>2012</w:t>
            </w:r>
          </w:p>
        </w:tc>
        <w:tc>
          <w:tcPr>
            <w:tcW w:w="236" w:type="dxa"/>
            <w:noWrap/>
          </w:tcPr>
          <w:p w:rsidR="00B83890" w:rsidRPr="00EA568B" w:rsidRDefault="00B83890" w:rsidP="006E6DC8">
            <w:pPr>
              <w:rPr>
                <w:rFonts w:cs="Arial"/>
                <w:color w:val="000000"/>
              </w:rPr>
            </w:pPr>
          </w:p>
        </w:tc>
        <w:tc>
          <w:tcPr>
            <w:tcW w:w="1199" w:type="dxa"/>
          </w:tcPr>
          <w:p w:rsidR="00B83890" w:rsidRPr="00EA568B" w:rsidRDefault="00B83890" w:rsidP="006E6DC8">
            <w:pPr>
              <w:jc w:val="right"/>
              <w:rPr>
                <w:rFonts w:cs="Arial"/>
                <w:color w:val="000000"/>
              </w:rPr>
            </w:pPr>
            <w:r>
              <w:rPr>
                <w:rFonts w:cs="Arial"/>
                <w:color w:val="000000"/>
              </w:rPr>
              <w:t>2013</w:t>
            </w:r>
          </w:p>
        </w:tc>
        <w:tc>
          <w:tcPr>
            <w:tcW w:w="1179" w:type="dxa"/>
          </w:tcPr>
          <w:p w:rsidR="00B83890" w:rsidRPr="00EA568B" w:rsidRDefault="00B83890" w:rsidP="006E6DC8">
            <w:pPr>
              <w:jc w:val="right"/>
              <w:rPr>
                <w:rFonts w:cs="Arial"/>
                <w:color w:val="000000"/>
              </w:rPr>
            </w:pPr>
            <w:r>
              <w:rPr>
                <w:rFonts w:cs="Arial"/>
                <w:color w:val="000000"/>
              </w:rPr>
              <w:t>2012</w:t>
            </w:r>
          </w:p>
        </w:tc>
      </w:tr>
      <w:tr w:rsidR="00B83890" w:rsidRPr="00EA568B" w:rsidTr="006E6DC8">
        <w:trPr>
          <w:trHeight w:val="285"/>
        </w:trPr>
        <w:tc>
          <w:tcPr>
            <w:tcW w:w="3407" w:type="dxa"/>
          </w:tcPr>
          <w:p w:rsidR="00B83890" w:rsidRPr="00EA568B" w:rsidRDefault="00B83890" w:rsidP="006E6DC8">
            <w:pPr>
              <w:jc w:val="center"/>
              <w:rPr>
                <w:rFonts w:cs="Arial"/>
                <w:color w:val="000000"/>
              </w:rPr>
            </w:pPr>
          </w:p>
        </w:tc>
        <w:tc>
          <w:tcPr>
            <w:tcW w:w="1219" w:type="dxa"/>
          </w:tcPr>
          <w:p w:rsidR="00B83890" w:rsidRPr="00EA568B" w:rsidRDefault="00B83890" w:rsidP="006E6DC8">
            <w:pPr>
              <w:jc w:val="right"/>
              <w:rPr>
                <w:rFonts w:cs="Arial"/>
                <w:color w:val="000000"/>
              </w:rPr>
            </w:pPr>
            <w:r w:rsidRPr="00EA568B">
              <w:rPr>
                <w:rFonts w:cs="Arial"/>
                <w:color w:val="000000"/>
              </w:rPr>
              <w:t xml:space="preserve"> No. </w:t>
            </w:r>
          </w:p>
        </w:tc>
        <w:tc>
          <w:tcPr>
            <w:tcW w:w="1319" w:type="dxa"/>
          </w:tcPr>
          <w:p w:rsidR="00B83890" w:rsidRPr="00EA568B" w:rsidRDefault="00B83890" w:rsidP="006E6DC8">
            <w:pPr>
              <w:jc w:val="right"/>
              <w:rPr>
                <w:rFonts w:cs="Arial"/>
                <w:color w:val="000000"/>
              </w:rPr>
            </w:pPr>
            <w:r w:rsidRPr="00EA568B">
              <w:rPr>
                <w:rFonts w:cs="Arial"/>
                <w:color w:val="000000"/>
              </w:rPr>
              <w:t xml:space="preserve"> No. </w:t>
            </w:r>
          </w:p>
        </w:tc>
        <w:tc>
          <w:tcPr>
            <w:tcW w:w="236" w:type="dxa"/>
            <w:noWrap/>
          </w:tcPr>
          <w:p w:rsidR="00B83890" w:rsidRPr="00EA568B" w:rsidRDefault="00B83890" w:rsidP="006E6DC8">
            <w:pPr>
              <w:rPr>
                <w:rFonts w:cs="Arial"/>
                <w:color w:val="000000"/>
              </w:rPr>
            </w:pPr>
          </w:p>
        </w:tc>
        <w:tc>
          <w:tcPr>
            <w:tcW w:w="1199" w:type="dxa"/>
          </w:tcPr>
          <w:p w:rsidR="00B83890" w:rsidRPr="00EA568B" w:rsidRDefault="00751664" w:rsidP="006E6DC8">
            <w:pPr>
              <w:jc w:val="right"/>
              <w:rPr>
                <w:rFonts w:cs="Arial"/>
                <w:color w:val="000000"/>
              </w:rPr>
            </w:pPr>
            <w:r>
              <w:rPr>
                <w:rFonts w:cs="Arial"/>
                <w:color w:val="000000"/>
              </w:rPr>
              <w:t xml:space="preserve">  No.</w:t>
            </w:r>
          </w:p>
        </w:tc>
        <w:tc>
          <w:tcPr>
            <w:tcW w:w="1179" w:type="dxa"/>
          </w:tcPr>
          <w:p w:rsidR="00B83890" w:rsidRPr="00EA568B" w:rsidRDefault="00B83890" w:rsidP="00751664">
            <w:pPr>
              <w:jc w:val="right"/>
              <w:rPr>
                <w:rFonts w:cs="Arial"/>
                <w:color w:val="000000"/>
              </w:rPr>
            </w:pPr>
            <w:r w:rsidRPr="00EA568B">
              <w:rPr>
                <w:rFonts w:cs="Arial"/>
                <w:color w:val="000000"/>
              </w:rPr>
              <w:t xml:space="preserve">  No.</w:t>
            </w:r>
          </w:p>
        </w:tc>
      </w:tr>
      <w:tr w:rsidR="00B83890" w:rsidRPr="00EA568B" w:rsidTr="006E6DC8">
        <w:trPr>
          <w:trHeight w:val="285"/>
        </w:trPr>
        <w:tc>
          <w:tcPr>
            <w:tcW w:w="3407" w:type="dxa"/>
          </w:tcPr>
          <w:p w:rsidR="00B83890" w:rsidRPr="00EA568B" w:rsidRDefault="00B83890" w:rsidP="006E6DC8">
            <w:pPr>
              <w:jc w:val="center"/>
              <w:rPr>
                <w:rFonts w:cs="Arial"/>
                <w:color w:val="000000"/>
              </w:rPr>
            </w:pPr>
            <w:r>
              <w:rPr>
                <w:rFonts w:cs="Arial"/>
                <w:color w:val="000000"/>
              </w:rPr>
              <w:t>$140,000 - $149,999</w:t>
            </w:r>
          </w:p>
        </w:tc>
        <w:tc>
          <w:tcPr>
            <w:tcW w:w="1219" w:type="dxa"/>
          </w:tcPr>
          <w:p w:rsidR="00B83890" w:rsidRPr="00EA568B" w:rsidRDefault="00B83890" w:rsidP="006E6DC8">
            <w:pPr>
              <w:jc w:val="right"/>
              <w:rPr>
                <w:rFonts w:cs="Arial"/>
                <w:color w:val="000000"/>
              </w:rPr>
            </w:pPr>
            <w:r>
              <w:rPr>
                <w:rFonts w:cs="Arial"/>
                <w:color w:val="000000"/>
              </w:rPr>
              <w:t>1</w:t>
            </w:r>
          </w:p>
        </w:tc>
        <w:tc>
          <w:tcPr>
            <w:tcW w:w="1319" w:type="dxa"/>
          </w:tcPr>
          <w:p w:rsidR="00B83890" w:rsidRPr="00EA568B" w:rsidRDefault="00B83890" w:rsidP="006E6DC8">
            <w:pPr>
              <w:jc w:val="right"/>
              <w:rPr>
                <w:rFonts w:cs="Arial"/>
                <w:color w:val="000000"/>
              </w:rPr>
            </w:pPr>
            <w:r>
              <w:rPr>
                <w:rFonts w:cs="Arial"/>
                <w:color w:val="000000"/>
              </w:rPr>
              <w:t>0</w:t>
            </w:r>
          </w:p>
        </w:tc>
        <w:tc>
          <w:tcPr>
            <w:tcW w:w="236" w:type="dxa"/>
            <w:noWrap/>
          </w:tcPr>
          <w:p w:rsidR="00B83890" w:rsidRPr="00EA568B" w:rsidRDefault="00B83890" w:rsidP="006E6DC8">
            <w:pPr>
              <w:rPr>
                <w:rFonts w:cs="Arial"/>
                <w:color w:val="000000"/>
              </w:rPr>
            </w:pPr>
          </w:p>
        </w:tc>
        <w:tc>
          <w:tcPr>
            <w:tcW w:w="1199" w:type="dxa"/>
          </w:tcPr>
          <w:p w:rsidR="00B83890" w:rsidRDefault="00B83890" w:rsidP="006E6DC8">
            <w:pPr>
              <w:jc w:val="right"/>
              <w:rPr>
                <w:rFonts w:cs="Arial"/>
                <w:color w:val="000000"/>
              </w:rPr>
            </w:pPr>
            <w:r>
              <w:rPr>
                <w:rFonts w:cs="Arial"/>
                <w:color w:val="000000"/>
              </w:rPr>
              <w:t>0</w:t>
            </w:r>
          </w:p>
        </w:tc>
        <w:tc>
          <w:tcPr>
            <w:tcW w:w="1179" w:type="dxa"/>
          </w:tcPr>
          <w:p w:rsidR="00B83890" w:rsidRDefault="00B83890" w:rsidP="006E6DC8">
            <w:pPr>
              <w:jc w:val="right"/>
              <w:rPr>
                <w:rFonts w:cs="Arial"/>
                <w:color w:val="000000"/>
              </w:rPr>
            </w:pPr>
            <w:r>
              <w:rPr>
                <w:rFonts w:cs="Arial"/>
                <w:color w:val="000000"/>
              </w:rPr>
              <w:t>0</w:t>
            </w:r>
          </w:p>
        </w:tc>
      </w:tr>
      <w:tr w:rsidR="00B83890" w:rsidRPr="00EA568B" w:rsidTr="006E6DC8">
        <w:trPr>
          <w:trHeight w:val="285"/>
        </w:trPr>
        <w:tc>
          <w:tcPr>
            <w:tcW w:w="3407" w:type="dxa"/>
          </w:tcPr>
          <w:p w:rsidR="00B83890" w:rsidRPr="00EA568B" w:rsidRDefault="00B83890" w:rsidP="006E6DC8">
            <w:pPr>
              <w:jc w:val="center"/>
              <w:rPr>
                <w:rFonts w:cs="Arial"/>
                <w:color w:val="000000"/>
              </w:rPr>
            </w:pPr>
            <w:r w:rsidRPr="00EA568B">
              <w:rPr>
                <w:rFonts w:cs="Arial"/>
                <w:color w:val="000000"/>
              </w:rPr>
              <w:t>$150,000 -  $159,999</w:t>
            </w:r>
          </w:p>
        </w:tc>
        <w:tc>
          <w:tcPr>
            <w:tcW w:w="1219" w:type="dxa"/>
          </w:tcPr>
          <w:p w:rsidR="00B83890" w:rsidRPr="00EA568B" w:rsidRDefault="00B83890" w:rsidP="006E6DC8">
            <w:pPr>
              <w:jc w:val="right"/>
              <w:rPr>
                <w:rFonts w:cs="Arial"/>
                <w:color w:val="000000"/>
              </w:rPr>
            </w:pPr>
            <w:r w:rsidRPr="00EA568B">
              <w:rPr>
                <w:rFonts w:cs="Arial"/>
                <w:color w:val="000000"/>
              </w:rPr>
              <w:t>0</w:t>
            </w:r>
          </w:p>
        </w:tc>
        <w:tc>
          <w:tcPr>
            <w:tcW w:w="1319" w:type="dxa"/>
          </w:tcPr>
          <w:p w:rsidR="00B83890" w:rsidRPr="00EA568B" w:rsidRDefault="00B83890" w:rsidP="006E6DC8">
            <w:pPr>
              <w:jc w:val="right"/>
              <w:rPr>
                <w:rFonts w:cs="Arial"/>
                <w:color w:val="000000"/>
              </w:rPr>
            </w:pPr>
            <w:r w:rsidRPr="00EA568B">
              <w:rPr>
                <w:rFonts w:cs="Arial"/>
                <w:color w:val="000000"/>
              </w:rPr>
              <w:t>0</w:t>
            </w:r>
          </w:p>
        </w:tc>
        <w:tc>
          <w:tcPr>
            <w:tcW w:w="236" w:type="dxa"/>
            <w:noWrap/>
          </w:tcPr>
          <w:p w:rsidR="00B83890" w:rsidRPr="00EA568B" w:rsidRDefault="00B83890" w:rsidP="006E6DC8">
            <w:pPr>
              <w:rPr>
                <w:rFonts w:cs="Arial"/>
                <w:color w:val="000000"/>
              </w:rPr>
            </w:pPr>
          </w:p>
        </w:tc>
        <w:tc>
          <w:tcPr>
            <w:tcW w:w="1199" w:type="dxa"/>
          </w:tcPr>
          <w:p w:rsidR="00B83890" w:rsidRPr="00EA568B" w:rsidRDefault="00B83890" w:rsidP="006E6DC8">
            <w:pPr>
              <w:jc w:val="right"/>
              <w:rPr>
                <w:rFonts w:cs="Arial"/>
                <w:color w:val="000000"/>
              </w:rPr>
            </w:pPr>
            <w:r>
              <w:rPr>
                <w:rFonts w:cs="Arial"/>
                <w:color w:val="000000"/>
              </w:rPr>
              <w:t>0</w:t>
            </w:r>
          </w:p>
        </w:tc>
        <w:tc>
          <w:tcPr>
            <w:tcW w:w="1179" w:type="dxa"/>
          </w:tcPr>
          <w:p w:rsidR="00B83890" w:rsidRPr="00EA568B" w:rsidRDefault="00B83890" w:rsidP="006E6DC8">
            <w:pPr>
              <w:jc w:val="right"/>
              <w:rPr>
                <w:rFonts w:cs="Arial"/>
                <w:color w:val="000000"/>
              </w:rPr>
            </w:pPr>
            <w:r>
              <w:rPr>
                <w:rFonts w:cs="Arial"/>
                <w:color w:val="000000"/>
              </w:rPr>
              <w:t>0</w:t>
            </w:r>
          </w:p>
        </w:tc>
      </w:tr>
      <w:tr w:rsidR="00B83890" w:rsidRPr="00EA568B" w:rsidTr="006E6DC8">
        <w:trPr>
          <w:trHeight w:val="285"/>
        </w:trPr>
        <w:tc>
          <w:tcPr>
            <w:tcW w:w="3407" w:type="dxa"/>
          </w:tcPr>
          <w:p w:rsidR="00B83890" w:rsidRPr="00EA568B" w:rsidRDefault="00B83890" w:rsidP="006E6DC8">
            <w:pPr>
              <w:jc w:val="center"/>
              <w:rPr>
                <w:rFonts w:cs="Arial"/>
                <w:color w:val="000000"/>
              </w:rPr>
            </w:pPr>
            <w:r w:rsidRPr="00EA568B">
              <w:rPr>
                <w:rFonts w:cs="Arial"/>
                <w:color w:val="000000"/>
              </w:rPr>
              <w:t>$160,000 -  $169,999</w:t>
            </w:r>
          </w:p>
        </w:tc>
        <w:tc>
          <w:tcPr>
            <w:tcW w:w="1219" w:type="dxa"/>
          </w:tcPr>
          <w:p w:rsidR="00B83890" w:rsidRPr="00EA568B" w:rsidRDefault="00B83890" w:rsidP="006E6DC8">
            <w:pPr>
              <w:jc w:val="right"/>
              <w:rPr>
                <w:rFonts w:cs="Arial"/>
                <w:color w:val="000000"/>
              </w:rPr>
            </w:pPr>
            <w:r w:rsidRPr="00EA568B">
              <w:rPr>
                <w:rFonts w:cs="Arial"/>
                <w:color w:val="000000"/>
              </w:rPr>
              <w:t>0</w:t>
            </w:r>
          </w:p>
        </w:tc>
        <w:tc>
          <w:tcPr>
            <w:tcW w:w="1319" w:type="dxa"/>
          </w:tcPr>
          <w:p w:rsidR="00B83890" w:rsidRPr="00EA568B" w:rsidRDefault="00B83890" w:rsidP="006E6DC8">
            <w:pPr>
              <w:jc w:val="right"/>
              <w:rPr>
                <w:rFonts w:cs="Arial"/>
                <w:color w:val="000000"/>
              </w:rPr>
            </w:pPr>
            <w:r w:rsidRPr="00EA568B">
              <w:rPr>
                <w:rFonts w:cs="Arial"/>
                <w:color w:val="000000"/>
              </w:rPr>
              <w:t>0</w:t>
            </w:r>
          </w:p>
        </w:tc>
        <w:tc>
          <w:tcPr>
            <w:tcW w:w="236" w:type="dxa"/>
            <w:noWrap/>
          </w:tcPr>
          <w:p w:rsidR="00B83890" w:rsidRPr="00EA568B" w:rsidRDefault="00B83890" w:rsidP="006E6DC8">
            <w:pPr>
              <w:rPr>
                <w:rFonts w:cs="Arial"/>
                <w:color w:val="000000"/>
              </w:rPr>
            </w:pPr>
          </w:p>
        </w:tc>
        <w:tc>
          <w:tcPr>
            <w:tcW w:w="1199" w:type="dxa"/>
          </w:tcPr>
          <w:p w:rsidR="00B83890" w:rsidRPr="00EA568B" w:rsidRDefault="00B83890" w:rsidP="006E6DC8">
            <w:pPr>
              <w:jc w:val="right"/>
              <w:rPr>
                <w:rFonts w:cs="Arial"/>
                <w:color w:val="000000"/>
              </w:rPr>
            </w:pPr>
            <w:r>
              <w:rPr>
                <w:rFonts w:cs="Arial"/>
                <w:color w:val="000000"/>
              </w:rPr>
              <w:t>0</w:t>
            </w:r>
          </w:p>
        </w:tc>
        <w:tc>
          <w:tcPr>
            <w:tcW w:w="1179" w:type="dxa"/>
          </w:tcPr>
          <w:p w:rsidR="00B83890" w:rsidRPr="00EA568B" w:rsidRDefault="00B83890" w:rsidP="006E6DC8">
            <w:pPr>
              <w:jc w:val="right"/>
              <w:rPr>
                <w:rFonts w:cs="Arial"/>
                <w:color w:val="000000"/>
              </w:rPr>
            </w:pPr>
            <w:r>
              <w:rPr>
                <w:rFonts w:cs="Arial"/>
                <w:color w:val="000000"/>
              </w:rPr>
              <w:t>1</w:t>
            </w:r>
          </w:p>
        </w:tc>
      </w:tr>
      <w:tr w:rsidR="00B83890" w:rsidRPr="00EA568B" w:rsidTr="006E6DC8">
        <w:trPr>
          <w:trHeight w:val="285"/>
        </w:trPr>
        <w:tc>
          <w:tcPr>
            <w:tcW w:w="3407" w:type="dxa"/>
          </w:tcPr>
          <w:p w:rsidR="00B83890" w:rsidRPr="00EA568B" w:rsidRDefault="00B83890" w:rsidP="006E6DC8">
            <w:pPr>
              <w:jc w:val="center"/>
              <w:rPr>
                <w:rFonts w:cs="Arial"/>
                <w:color w:val="000000"/>
              </w:rPr>
            </w:pPr>
            <w:r w:rsidRPr="00EA568B">
              <w:rPr>
                <w:rFonts w:cs="Arial"/>
                <w:color w:val="000000"/>
              </w:rPr>
              <w:t>$170,000 -  $179,999</w:t>
            </w:r>
          </w:p>
        </w:tc>
        <w:tc>
          <w:tcPr>
            <w:tcW w:w="1219" w:type="dxa"/>
          </w:tcPr>
          <w:p w:rsidR="00B83890" w:rsidRPr="00EA568B" w:rsidRDefault="00B83890" w:rsidP="006E6DC8">
            <w:pPr>
              <w:jc w:val="right"/>
              <w:rPr>
                <w:rFonts w:cs="Arial"/>
                <w:color w:val="000000"/>
              </w:rPr>
            </w:pPr>
            <w:r>
              <w:rPr>
                <w:rFonts w:cs="Arial"/>
                <w:color w:val="000000"/>
              </w:rPr>
              <w:t>0</w:t>
            </w:r>
          </w:p>
        </w:tc>
        <w:tc>
          <w:tcPr>
            <w:tcW w:w="1319" w:type="dxa"/>
          </w:tcPr>
          <w:p w:rsidR="00B83890" w:rsidRPr="00EA568B" w:rsidRDefault="00B83890" w:rsidP="006E6DC8">
            <w:pPr>
              <w:jc w:val="right"/>
              <w:rPr>
                <w:rFonts w:cs="Arial"/>
                <w:color w:val="000000"/>
              </w:rPr>
            </w:pPr>
            <w:r>
              <w:rPr>
                <w:rFonts w:cs="Arial"/>
                <w:color w:val="000000"/>
              </w:rPr>
              <w:t>0</w:t>
            </w:r>
          </w:p>
        </w:tc>
        <w:tc>
          <w:tcPr>
            <w:tcW w:w="236" w:type="dxa"/>
            <w:noWrap/>
          </w:tcPr>
          <w:p w:rsidR="00B83890" w:rsidRPr="00EA568B" w:rsidRDefault="00B83890" w:rsidP="006E6DC8">
            <w:pPr>
              <w:rPr>
                <w:rFonts w:cs="Arial"/>
                <w:color w:val="000000"/>
              </w:rPr>
            </w:pPr>
          </w:p>
        </w:tc>
        <w:tc>
          <w:tcPr>
            <w:tcW w:w="1199" w:type="dxa"/>
          </w:tcPr>
          <w:p w:rsidR="00B83890" w:rsidRPr="00EA568B" w:rsidRDefault="00B83890" w:rsidP="006E6DC8">
            <w:pPr>
              <w:jc w:val="right"/>
              <w:rPr>
                <w:rFonts w:cs="Arial"/>
                <w:color w:val="000000"/>
              </w:rPr>
            </w:pPr>
            <w:r>
              <w:rPr>
                <w:rFonts w:cs="Arial"/>
                <w:color w:val="000000"/>
              </w:rPr>
              <w:t>2</w:t>
            </w:r>
          </w:p>
        </w:tc>
        <w:tc>
          <w:tcPr>
            <w:tcW w:w="1179" w:type="dxa"/>
          </w:tcPr>
          <w:p w:rsidR="00B83890" w:rsidRPr="00EA568B" w:rsidRDefault="00B83890" w:rsidP="006E6DC8">
            <w:pPr>
              <w:jc w:val="right"/>
              <w:rPr>
                <w:rFonts w:cs="Arial"/>
                <w:color w:val="000000"/>
              </w:rPr>
            </w:pPr>
            <w:r>
              <w:rPr>
                <w:rFonts w:cs="Arial"/>
                <w:color w:val="000000"/>
              </w:rPr>
              <w:t>1</w:t>
            </w:r>
          </w:p>
        </w:tc>
      </w:tr>
      <w:tr w:rsidR="00B83890" w:rsidRPr="00EA568B" w:rsidTr="006E6DC8">
        <w:trPr>
          <w:trHeight w:val="285"/>
        </w:trPr>
        <w:tc>
          <w:tcPr>
            <w:tcW w:w="3407" w:type="dxa"/>
          </w:tcPr>
          <w:p w:rsidR="00B83890" w:rsidRPr="00EA568B" w:rsidRDefault="00B83890" w:rsidP="006E6DC8">
            <w:pPr>
              <w:jc w:val="center"/>
              <w:rPr>
                <w:rFonts w:cs="Arial"/>
                <w:color w:val="000000"/>
              </w:rPr>
            </w:pPr>
            <w:r w:rsidRPr="00EA568B">
              <w:rPr>
                <w:rFonts w:cs="Arial"/>
                <w:color w:val="000000"/>
              </w:rPr>
              <w:t>$180,000 -  $189,999</w:t>
            </w:r>
          </w:p>
        </w:tc>
        <w:tc>
          <w:tcPr>
            <w:tcW w:w="1219" w:type="dxa"/>
          </w:tcPr>
          <w:p w:rsidR="00B83890" w:rsidRPr="00EA568B" w:rsidRDefault="00B83890" w:rsidP="006E6DC8">
            <w:pPr>
              <w:jc w:val="right"/>
              <w:rPr>
                <w:rFonts w:cs="Arial"/>
                <w:color w:val="000000"/>
              </w:rPr>
            </w:pPr>
            <w:r>
              <w:rPr>
                <w:rFonts w:cs="Arial"/>
                <w:color w:val="000000"/>
              </w:rPr>
              <w:t>0</w:t>
            </w:r>
          </w:p>
        </w:tc>
        <w:tc>
          <w:tcPr>
            <w:tcW w:w="1319" w:type="dxa"/>
          </w:tcPr>
          <w:p w:rsidR="00B83890" w:rsidRPr="00EA568B" w:rsidRDefault="00B83890" w:rsidP="006E6DC8">
            <w:pPr>
              <w:jc w:val="right"/>
              <w:rPr>
                <w:rFonts w:cs="Arial"/>
                <w:color w:val="000000"/>
              </w:rPr>
            </w:pPr>
            <w:r>
              <w:rPr>
                <w:rFonts w:cs="Arial"/>
                <w:color w:val="000000"/>
              </w:rPr>
              <w:t>0</w:t>
            </w:r>
          </w:p>
        </w:tc>
        <w:tc>
          <w:tcPr>
            <w:tcW w:w="236" w:type="dxa"/>
            <w:noWrap/>
          </w:tcPr>
          <w:p w:rsidR="00B83890" w:rsidRPr="00EA568B" w:rsidRDefault="00B83890" w:rsidP="006E6DC8">
            <w:pPr>
              <w:rPr>
                <w:rFonts w:cs="Arial"/>
                <w:color w:val="000000"/>
              </w:rPr>
            </w:pPr>
          </w:p>
        </w:tc>
        <w:tc>
          <w:tcPr>
            <w:tcW w:w="1199" w:type="dxa"/>
          </w:tcPr>
          <w:p w:rsidR="00B83890" w:rsidRPr="00EA568B" w:rsidRDefault="00B83890" w:rsidP="006E6DC8">
            <w:pPr>
              <w:jc w:val="right"/>
              <w:rPr>
                <w:rFonts w:cs="Arial"/>
                <w:color w:val="000000"/>
              </w:rPr>
            </w:pPr>
            <w:r>
              <w:rPr>
                <w:rFonts w:cs="Arial"/>
                <w:color w:val="000000"/>
              </w:rPr>
              <w:t>1</w:t>
            </w:r>
          </w:p>
        </w:tc>
        <w:tc>
          <w:tcPr>
            <w:tcW w:w="1179" w:type="dxa"/>
          </w:tcPr>
          <w:p w:rsidR="00B83890" w:rsidRPr="00EA568B" w:rsidRDefault="00B83890" w:rsidP="006E6DC8">
            <w:pPr>
              <w:jc w:val="right"/>
              <w:rPr>
                <w:rFonts w:cs="Arial"/>
                <w:color w:val="000000"/>
              </w:rPr>
            </w:pPr>
            <w:r>
              <w:rPr>
                <w:rFonts w:cs="Arial"/>
                <w:color w:val="000000"/>
              </w:rPr>
              <w:t>2</w:t>
            </w:r>
          </w:p>
        </w:tc>
      </w:tr>
      <w:tr w:rsidR="00B83890" w:rsidRPr="00EA568B" w:rsidTr="006E6DC8">
        <w:trPr>
          <w:trHeight w:val="285"/>
        </w:trPr>
        <w:tc>
          <w:tcPr>
            <w:tcW w:w="3407" w:type="dxa"/>
          </w:tcPr>
          <w:p w:rsidR="00B83890" w:rsidRPr="00EA568B" w:rsidRDefault="00B83890" w:rsidP="006E6DC8">
            <w:pPr>
              <w:jc w:val="center"/>
              <w:rPr>
                <w:rFonts w:cs="Arial"/>
              </w:rPr>
            </w:pPr>
            <w:r w:rsidRPr="00EA568B">
              <w:rPr>
                <w:rFonts w:cs="Arial"/>
              </w:rPr>
              <w:t>$190,000 -  $199,999</w:t>
            </w:r>
          </w:p>
        </w:tc>
        <w:tc>
          <w:tcPr>
            <w:tcW w:w="1219" w:type="dxa"/>
          </w:tcPr>
          <w:p w:rsidR="00B83890" w:rsidRPr="00EA568B" w:rsidRDefault="00B83890" w:rsidP="006E6DC8">
            <w:pPr>
              <w:jc w:val="right"/>
              <w:rPr>
                <w:rFonts w:cs="Arial"/>
                <w:color w:val="000000"/>
              </w:rPr>
            </w:pPr>
            <w:r>
              <w:rPr>
                <w:rFonts w:cs="Arial"/>
                <w:color w:val="000000"/>
              </w:rPr>
              <w:t>1</w:t>
            </w:r>
          </w:p>
        </w:tc>
        <w:tc>
          <w:tcPr>
            <w:tcW w:w="1319" w:type="dxa"/>
          </w:tcPr>
          <w:p w:rsidR="00B83890" w:rsidRPr="00EA568B" w:rsidRDefault="00B83890" w:rsidP="006E6DC8">
            <w:pPr>
              <w:jc w:val="right"/>
              <w:rPr>
                <w:rFonts w:cs="Arial"/>
                <w:color w:val="000000"/>
              </w:rPr>
            </w:pPr>
            <w:r>
              <w:rPr>
                <w:rFonts w:cs="Arial"/>
                <w:color w:val="000000"/>
              </w:rPr>
              <w:t>2</w:t>
            </w:r>
          </w:p>
        </w:tc>
        <w:tc>
          <w:tcPr>
            <w:tcW w:w="236" w:type="dxa"/>
            <w:noWrap/>
          </w:tcPr>
          <w:p w:rsidR="00B83890" w:rsidRPr="00EA568B" w:rsidRDefault="00B83890" w:rsidP="006E6DC8">
            <w:pPr>
              <w:rPr>
                <w:rFonts w:cs="Arial"/>
                <w:color w:val="000000"/>
              </w:rPr>
            </w:pPr>
          </w:p>
        </w:tc>
        <w:tc>
          <w:tcPr>
            <w:tcW w:w="1199" w:type="dxa"/>
          </w:tcPr>
          <w:p w:rsidR="00B83890" w:rsidRPr="00EA568B" w:rsidRDefault="00B83890" w:rsidP="006E6DC8">
            <w:pPr>
              <w:jc w:val="right"/>
              <w:rPr>
                <w:rFonts w:cs="Arial"/>
                <w:color w:val="000000"/>
              </w:rPr>
            </w:pPr>
            <w:r w:rsidRPr="00EA568B">
              <w:rPr>
                <w:rFonts w:cs="Arial"/>
                <w:color w:val="000000"/>
              </w:rPr>
              <w:t>0</w:t>
            </w:r>
          </w:p>
        </w:tc>
        <w:tc>
          <w:tcPr>
            <w:tcW w:w="1179" w:type="dxa"/>
          </w:tcPr>
          <w:p w:rsidR="00B83890" w:rsidRPr="00EA568B" w:rsidRDefault="00B83890" w:rsidP="006E6DC8">
            <w:pPr>
              <w:jc w:val="right"/>
              <w:rPr>
                <w:rFonts w:cs="Arial"/>
                <w:color w:val="000000"/>
              </w:rPr>
            </w:pPr>
            <w:r w:rsidRPr="00EA568B">
              <w:rPr>
                <w:rFonts w:cs="Arial"/>
                <w:color w:val="000000"/>
              </w:rPr>
              <w:t>0</w:t>
            </w:r>
          </w:p>
        </w:tc>
      </w:tr>
      <w:tr w:rsidR="00B83890" w:rsidRPr="00EA568B" w:rsidTr="006E6DC8">
        <w:trPr>
          <w:trHeight w:val="285"/>
        </w:trPr>
        <w:tc>
          <w:tcPr>
            <w:tcW w:w="3407" w:type="dxa"/>
          </w:tcPr>
          <w:p w:rsidR="00B83890" w:rsidRPr="00EA568B" w:rsidRDefault="00B83890" w:rsidP="006E6DC8">
            <w:pPr>
              <w:jc w:val="center"/>
              <w:rPr>
                <w:rFonts w:cs="Arial"/>
              </w:rPr>
            </w:pPr>
            <w:r>
              <w:rPr>
                <w:rFonts w:cs="Arial"/>
              </w:rPr>
              <w:t>$200,000 -  $20</w:t>
            </w:r>
            <w:r w:rsidRPr="00EA568B">
              <w:rPr>
                <w:rFonts w:cs="Arial"/>
              </w:rPr>
              <w:t>9,999</w:t>
            </w:r>
          </w:p>
        </w:tc>
        <w:tc>
          <w:tcPr>
            <w:tcW w:w="1219" w:type="dxa"/>
          </w:tcPr>
          <w:p w:rsidR="00B83890" w:rsidRPr="00EA568B" w:rsidRDefault="00B83890" w:rsidP="006E6DC8">
            <w:pPr>
              <w:jc w:val="right"/>
              <w:rPr>
                <w:rFonts w:cs="Arial"/>
                <w:color w:val="000000"/>
              </w:rPr>
            </w:pPr>
            <w:r>
              <w:rPr>
                <w:rFonts w:cs="Arial"/>
                <w:color w:val="000000"/>
              </w:rPr>
              <w:t>0</w:t>
            </w:r>
          </w:p>
        </w:tc>
        <w:tc>
          <w:tcPr>
            <w:tcW w:w="1319" w:type="dxa"/>
          </w:tcPr>
          <w:p w:rsidR="00B83890" w:rsidRPr="00EA568B" w:rsidRDefault="00B83890" w:rsidP="006E6DC8">
            <w:pPr>
              <w:jc w:val="right"/>
              <w:rPr>
                <w:rFonts w:cs="Arial"/>
                <w:color w:val="000000"/>
              </w:rPr>
            </w:pPr>
            <w:r>
              <w:rPr>
                <w:rFonts w:cs="Arial"/>
                <w:color w:val="000000"/>
              </w:rPr>
              <w:t>1</w:t>
            </w:r>
          </w:p>
        </w:tc>
        <w:tc>
          <w:tcPr>
            <w:tcW w:w="236" w:type="dxa"/>
            <w:noWrap/>
          </w:tcPr>
          <w:p w:rsidR="00B83890" w:rsidRPr="00EA568B" w:rsidRDefault="00B83890" w:rsidP="006E6DC8">
            <w:pPr>
              <w:rPr>
                <w:rFonts w:cs="Arial"/>
                <w:color w:val="000000"/>
              </w:rPr>
            </w:pPr>
          </w:p>
        </w:tc>
        <w:tc>
          <w:tcPr>
            <w:tcW w:w="1199" w:type="dxa"/>
          </w:tcPr>
          <w:p w:rsidR="00B83890" w:rsidRPr="00EA568B" w:rsidRDefault="00B83890" w:rsidP="006E6DC8">
            <w:pPr>
              <w:jc w:val="right"/>
              <w:rPr>
                <w:rFonts w:cs="Arial"/>
                <w:color w:val="000000"/>
              </w:rPr>
            </w:pPr>
            <w:r w:rsidRPr="00EA568B">
              <w:rPr>
                <w:rFonts w:cs="Arial"/>
                <w:color w:val="000000"/>
              </w:rPr>
              <w:t>0</w:t>
            </w:r>
          </w:p>
        </w:tc>
        <w:tc>
          <w:tcPr>
            <w:tcW w:w="1179" w:type="dxa"/>
          </w:tcPr>
          <w:p w:rsidR="00B83890" w:rsidRPr="00EA568B" w:rsidRDefault="00B83890" w:rsidP="006E6DC8">
            <w:pPr>
              <w:jc w:val="right"/>
              <w:rPr>
                <w:rFonts w:cs="Arial"/>
                <w:color w:val="000000"/>
              </w:rPr>
            </w:pPr>
            <w:r w:rsidRPr="00EA568B">
              <w:rPr>
                <w:rFonts w:cs="Arial"/>
                <w:color w:val="000000"/>
              </w:rPr>
              <w:t>0</w:t>
            </w:r>
          </w:p>
        </w:tc>
      </w:tr>
      <w:tr w:rsidR="00B83890" w:rsidRPr="00EA568B" w:rsidTr="006E6DC8">
        <w:trPr>
          <w:trHeight w:val="285"/>
        </w:trPr>
        <w:tc>
          <w:tcPr>
            <w:tcW w:w="3407" w:type="dxa"/>
          </w:tcPr>
          <w:p w:rsidR="00B83890" w:rsidRPr="00EA568B" w:rsidRDefault="00B83890" w:rsidP="006E6DC8">
            <w:pPr>
              <w:spacing w:after="120"/>
              <w:jc w:val="center"/>
              <w:rPr>
                <w:rFonts w:cs="Arial"/>
              </w:rPr>
            </w:pPr>
            <w:r>
              <w:rPr>
                <w:rFonts w:cs="Arial"/>
              </w:rPr>
              <w:t>$240,000 - $249,999</w:t>
            </w:r>
          </w:p>
        </w:tc>
        <w:tc>
          <w:tcPr>
            <w:tcW w:w="1219" w:type="dxa"/>
            <w:tcBorders>
              <w:bottom w:val="single" w:sz="4" w:space="0" w:color="auto"/>
            </w:tcBorders>
          </w:tcPr>
          <w:p w:rsidR="00B83890" w:rsidRPr="00EA568B" w:rsidRDefault="00B83890" w:rsidP="006E6DC8">
            <w:pPr>
              <w:tabs>
                <w:tab w:val="center" w:pos="501"/>
                <w:tab w:val="right" w:pos="1003"/>
              </w:tabs>
              <w:spacing w:after="120"/>
              <w:rPr>
                <w:rFonts w:cs="Arial"/>
                <w:color w:val="000000"/>
              </w:rPr>
            </w:pPr>
            <w:r>
              <w:rPr>
                <w:rFonts w:cs="Arial"/>
                <w:color w:val="000000"/>
              </w:rPr>
              <w:tab/>
            </w:r>
            <w:r>
              <w:rPr>
                <w:rFonts w:cs="Arial"/>
                <w:color w:val="000000"/>
              </w:rPr>
              <w:tab/>
              <w:t>1</w:t>
            </w:r>
          </w:p>
        </w:tc>
        <w:tc>
          <w:tcPr>
            <w:tcW w:w="1319" w:type="dxa"/>
            <w:tcBorders>
              <w:bottom w:val="single" w:sz="4" w:space="0" w:color="auto"/>
            </w:tcBorders>
          </w:tcPr>
          <w:p w:rsidR="00B83890" w:rsidRPr="00EA568B" w:rsidRDefault="00B83890" w:rsidP="006E6DC8">
            <w:pPr>
              <w:spacing w:after="120"/>
              <w:jc w:val="right"/>
              <w:rPr>
                <w:rFonts w:cs="Arial"/>
                <w:color w:val="000000"/>
              </w:rPr>
            </w:pPr>
            <w:r>
              <w:rPr>
                <w:rFonts w:cs="Arial"/>
                <w:color w:val="000000"/>
              </w:rPr>
              <w:t>1</w:t>
            </w:r>
          </w:p>
        </w:tc>
        <w:tc>
          <w:tcPr>
            <w:tcW w:w="236" w:type="dxa"/>
            <w:noWrap/>
          </w:tcPr>
          <w:p w:rsidR="00B83890" w:rsidRPr="00EA568B" w:rsidRDefault="00B83890" w:rsidP="006E6DC8">
            <w:pPr>
              <w:spacing w:after="120"/>
              <w:rPr>
                <w:rFonts w:cs="Arial"/>
                <w:color w:val="000000"/>
              </w:rPr>
            </w:pPr>
          </w:p>
        </w:tc>
        <w:tc>
          <w:tcPr>
            <w:tcW w:w="1199" w:type="dxa"/>
            <w:tcBorders>
              <w:bottom w:val="single" w:sz="4" w:space="0" w:color="auto"/>
            </w:tcBorders>
          </w:tcPr>
          <w:p w:rsidR="00B83890" w:rsidRPr="00EA568B" w:rsidRDefault="00B83890" w:rsidP="006E6DC8">
            <w:pPr>
              <w:spacing w:after="120"/>
              <w:jc w:val="right"/>
              <w:rPr>
                <w:rFonts w:cs="Arial"/>
                <w:color w:val="000000"/>
              </w:rPr>
            </w:pPr>
            <w:r>
              <w:rPr>
                <w:rFonts w:cs="Arial"/>
                <w:color w:val="000000"/>
              </w:rPr>
              <w:t>0</w:t>
            </w:r>
          </w:p>
        </w:tc>
        <w:tc>
          <w:tcPr>
            <w:tcW w:w="1179" w:type="dxa"/>
            <w:tcBorders>
              <w:bottom w:val="single" w:sz="4" w:space="0" w:color="auto"/>
            </w:tcBorders>
          </w:tcPr>
          <w:p w:rsidR="00B83890" w:rsidRPr="00EA568B" w:rsidRDefault="00B83890" w:rsidP="006E6DC8">
            <w:pPr>
              <w:spacing w:after="120"/>
              <w:jc w:val="right"/>
              <w:rPr>
                <w:rFonts w:cs="Arial"/>
                <w:color w:val="000000"/>
              </w:rPr>
            </w:pPr>
            <w:r>
              <w:rPr>
                <w:rFonts w:cs="Arial"/>
                <w:color w:val="000000"/>
              </w:rPr>
              <w:t>0</w:t>
            </w:r>
          </w:p>
        </w:tc>
      </w:tr>
      <w:tr w:rsidR="00B83890" w:rsidRPr="00EA568B" w:rsidTr="006E6DC8">
        <w:trPr>
          <w:trHeight w:val="285"/>
        </w:trPr>
        <w:tc>
          <w:tcPr>
            <w:tcW w:w="3407" w:type="dxa"/>
          </w:tcPr>
          <w:p w:rsidR="00B83890" w:rsidRPr="00EA568B" w:rsidRDefault="00B83890" w:rsidP="006E6DC8">
            <w:pPr>
              <w:rPr>
                <w:rFonts w:cs="Arial"/>
                <w:b/>
                <w:bCs/>
                <w:color w:val="000000"/>
              </w:rPr>
            </w:pPr>
            <w:r w:rsidRPr="00EA568B">
              <w:rPr>
                <w:rFonts w:cs="Arial"/>
                <w:b/>
                <w:bCs/>
                <w:color w:val="000000"/>
              </w:rPr>
              <w:t>TOTAL NUMBERS</w:t>
            </w:r>
          </w:p>
        </w:tc>
        <w:tc>
          <w:tcPr>
            <w:tcW w:w="1219" w:type="dxa"/>
            <w:tcBorders>
              <w:top w:val="single" w:sz="4" w:space="0" w:color="auto"/>
              <w:bottom w:val="single" w:sz="4" w:space="0" w:color="auto"/>
            </w:tcBorders>
          </w:tcPr>
          <w:p w:rsidR="00B83890" w:rsidRPr="00EA568B" w:rsidRDefault="00B83890" w:rsidP="006E6DC8">
            <w:pPr>
              <w:jc w:val="right"/>
              <w:rPr>
                <w:rFonts w:cs="Arial"/>
                <w:b/>
                <w:bCs/>
                <w:color w:val="000000"/>
              </w:rPr>
            </w:pPr>
            <w:r>
              <w:rPr>
                <w:rFonts w:cs="Arial"/>
                <w:b/>
                <w:bCs/>
                <w:color w:val="000000"/>
              </w:rPr>
              <w:t>3</w:t>
            </w:r>
          </w:p>
        </w:tc>
        <w:tc>
          <w:tcPr>
            <w:tcW w:w="1319" w:type="dxa"/>
            <w:tcBorders>
              <w:top w:val="single" w:sz="4" w:space="0" w:color="auto"/>
              <w:bottom w:val="single" w:sz="4" w:space="0" w:color="auto"/>
            </w:tcBorders>
          </w:tcPr>
          <w:p w:rsidR="00B83890" w:rsidRPr="00EA568B" w:rsidRDefault="00B83890" w:rsidP="006E6DC8">
            <w:pPr>
              <w:jc w:val="right"/>
              <w:rPr>
                <w:rFonts w:cs="Arial"/>
                <w:b/>
                <w:bCs/>
                <w:color w:val="000000"/>
              </w:rPr>
            </w:pPr>
            <w:r w:rsidRPr="00EA568B">
              <w:rPr>
                <w:rFonts w:cs="Arial"/>
                <w:b/>
                <w:bCs/>
                <w:color w:val="000000"/>
              </w:rPr>
              <w:t>4</w:t>
            </w:r>
          </w:p>
        </w:tc>
        <w:tc>
          <w:tcPr>
            <w:tcW w:w="236" w:type="dxa"/>
            <w:noWrap/>
          </w:tcPr>
          <w:p w:rsidR="00B83890" w:rsidRPr="00EA568B" w:rsidRDefault="00B83890" w:rsidP="006E6DC8">
            <w:pPr>
              <w:rPr>
                <w:rFonts w:cs="Arial"/>
                <w:color w:val="000000"/>
              </w:rPr>
            </w:pPr>
          </w:p>
        </w:tc>
        <w:tc>
          <w:tcPr>
            <w:tcW w:w="1199" w:type="dxa"/>
            <w:tcBorders>
              <w:top w:val="single" w:sz="4" w:space="0" w:color="auto"/>
              <w:bottom w:val="single" w:sz="4" w:space="0" w:color="auto"/>
            </w:tcBorders>
          </w:tcPr>
          <w:p w:rsidR="00B83890" w:rsidRPr="00EA568B" w:rsidRDefault="00B83890" w:rsidP="006E6DC8">
            <w:pPr>
              <w:jc w:val="right"/>
              <w:rPr>
                <w:rFonts w:cs="Arial"/>
                <w:b/>
                <w:bCs/>
                <w:color w:val="000000"/>
              </w:rPr>
            </w:pPr>
            <w:r>
              <w:rPr>
                <w:rFonts w:cs="Arial"/>
                <w:b/>
                <w:bCs/>
                <w:color w:val="000000"/>
              </w:rPr>
              <w:t>3</w:t>
            </w:r>
          </w:p>
        </w:tc>
        <w:tc>
          <w:tcPr>
            <w:tcW w:w="1179" w:type="dxa"/>
            <w:tcBorders>
              <w:top w:val="single" w:sz="4" w:space="0" w:color="auto"/>
              <w:bottom w:val="single" w:sz="4" w:space="0" w:color="auto"/>
            </w:tcBorders>
          </w:tcPr>
          <w:p w:rsidR="00B83890" w:rsidRPr="00EA568B" w:rsidRDefault="00B83890" w:rsidP="006E6DC8">
            <w:pPr>
              <w:jc w:val="right"/>
              <w:rPr>
                <w:rFonts w:cs="Arial"/>
                <w:b/>
                <w:bCs/>
                <w:color w:val="000000"/>
              </w:rPr>
            </w:pPr>
            <w:r w:rsidRPr="00EA568B">
              <w:rPr>
                <w:rFonts w:cs="Arial"/>
                <w:b/>
                <w:bCs/>
                <w:color w:val="000000"/>
              </w:rPr>
              <w:t>4</w:t>
            </w:r>
          </w:p>
        </w:tc>
      </w:tr>
      <w:tr w:rsidR="00B83890" w:rsidRPr="00EA568B" w:rsidTr="006E6DC8">
        <w:trPr>
          <w:trHeight w:val="285"/>
        </w:trPr>
        <w:tc>
          <w:tcPr>
            <w:tcW w:w="3407" w:type="dxa"/>
          </w:tcPr>
          <w:p w:rsidR="00B83890" w:rsidRPr="00EA568B" w:rsidRDefault="00B83890" w:rsidP="006E6DC8">
            <w:pPr>
              <w:rPr>
                <w:rFonts w:cs="Arial"/>
                <w:b/>
                <w:bCs/>
                <w:color w:val="000000"/>
              </w:rPr>
            </w:pPr>
            <w:r>
              <w:rPr>
                <w:rFonts w:cs="Arial"/>
                <w:b/>
                <w:bCs/>
                <w:color w:val="000000"/>
              </w:rPr>
              <w:t>TOTAL ANNUALISED EMPLOYEE EQUIVALENT (AEE)</w:t>
            </w:r>
          </w:p>
        </w:tc>
        <w:tc>
          <w:tcPr>
            <w:tcW w:w="1219" w:type="dxa"/>
            <w:tcBorders>
              <w:top w:val="single" w:sz="4" w:space="0" w:color="auto"/>
              <w:bottom w:val="single" w:sz="4" w:space="0" w:color="auto"/>
            </w:tcBorders>
            <w:vAlign w:val="bottom"/>
          </w:tcPr>
          <w:p w:rsidR="00B83890" w:rsidDel="00CC73D2" w:rsidRDefault="00B83890" w:rsidP="006E6DC8">
            <w:pPr>
              <w:jc w:val="right"/>
              <w:rPr>
                <w:rFonts w:cs="Arial"/>
                <w:b/>
                <w:bCs/>
                <w:color w:val="000000"/>
              </w:rPr>
            </w:pPr>
            <w:r>
              <w:rPr>
                <w:rFonts w:cs="Arial"/>
                <w:b/>
                <w:bCs/>
                <w:color w:val="000000"/>
              </w:rPr>
              <w:t>2.8</w:t>
            </w:r>
          </w:p>
        </w:tc>
        <w:tc>
          <w:tcPr>
            <w:tcW w:w="1319" w:type="dxa"/>
            <w:tcBorders>
              <w:top w:val="single" w:sz="4" w:space="0" w:color="auto"/>
              <w:bottom w:val="single" w:sz="4" w:space="0" w:color="auto"/>
            </w:tcBorders>
            <w:vAlign w:val="bottom"/>
          </w:tcPr>
          <w:p w:rsidR="00B83890" w:rsidRPr="00EA568B" w:rsidRDefault="00B83890" w:rsidP="006E6DC8">
            <w:pPr>
              <w:jc w:val="right"/>
              <w:rPr>
                <w:rFonts w:cs="Arial"/>
                <w:b/>
                <w:bCs/>
                <w:color w:val="000000"/>
              </w:rPr>
            </w:pPr>
            <w:r>
              <w:rPr>
                <w:rFonts w:cs="Arial"/>
                <w:b/>
                <w:bCs/>
                <w:color w:val="000000"/>
              </w:rPr>
              <w:t>3.5</w:t>
            </w:r>
          </w:p>
        </w:tc>
        <w:tc>
          <w:tcPr>
            <w:tcW w:w="236" w:type="dxa"/>
            <w:noWrap/>
            <w:vAlign w:val="bottom"/>
          </w:tcPr>
          <w:p w:rsidR="00B83890" w:rsidRPr="00EA568B" w:rsidRDefault="00B83890" w:rsidP="006E6DC8">
            <w:pPr>
              <w:jc w:val="right"/>
              <w:rPr>
                <w:rFonts w:cs="Arial"/>
                <w:color w:val="000000"/>
              </w:rPr>
            </w:pPr>
          </w:p>
        </w:tc>
        <w:tc>
          <w:tcPr>
            <w:tcW w:w="1199" w:type="dxa"/>
            <w:tcBorders>
              <w:top w:val="single" w:sz="4" w:space="0" w:color="auto"/>
              <w:bottom w:val="single" w:sz="4" w:space="0" w:color="auto"/>
            </w:tcBorders>
            <w:vAlign w:val="bottom"/>
          </w:tcPr>
          <w:p w:rsidR="00B83890" w:rsidDel="00CC73D2" w:rsidRDefault="00B83890" w:rsidP="006E6DC8">
            <w:pPr>
              <w:jc w:val="right"/>
              <w:rPr>
                <w:rFonts w:cs="Arial"/>
                <w:b/>
                <w:bCs/>
                <w:color w:val="000000"/>
              </w:rPr>
            </w:pPr>
            <w:r>
              <w:rPr>
                <w:rFonts w:cs="Arial"/>
                <w:b/>
                <w:bCs/>
                <w:color w:val="000000"/>
              </w:rPr>
              <w:t>2.8</w:t>
            </w:r>
          </w:p>
        </w:tc>
        <w:tc>
          <w:tcPr>
            <w:tcW w:w="1179" w:type="dxa"/>
            <w:tcBorders>
              <w:top w:val="single" w:sz="4" w:space="0" w:color="auto"/>
              <w:bottom w:val="single" w:sz="4" w:space="0" w:color="auto"/>
            </w:tcBorders>
            <w:vAlign w:val="bottom"/>
          </w:tcPr>
          <w:p w:rsidR="00B83890" w:rsidRPr="00EA568B" w:rsidRDefault="00B83890" w:rsidP="006E6DC8">
            <w:pPr>
              <w:jc w:val="right"/>
              <w:rPr>
                <w:rFonts w:cs="Arial"/>
                <w:b/>
                <w:bCs/>
                <w:color w:val="000000"/>
              </w:rPr>
            </w:pPr>
            <w:r>
              <w:rPr>
                <w:rFonts w:cs="Arial"/>
                <w:b/>
                <w:bCs/>
                <w:color w:val="000000"/>
              </w:rPr>
              <w:t>3.5</w:t>
            </w:r>
          </w:p>
        </w:tc>
      </w:tr>
      <w:tr w:rsidR="00B83890" w:rsidRPr="00355A4A" w:rsidTr="006E6DC8">
        <w:trPr>
          <w:trHeight w:val="285"/>
        </w:trPr>
        <w:tc>
          <w:tcPr>
            <w:tcW w:w="3407" w:type="dxa"/>
          </w:tcPr>
          <w:p w:rsidR="00B83890" w:rsidRPr="00355A4A" w:rsidRDefault="00B83890" w:rsidP="006E6DC8">
            <w:pPr>
              <w:jc w:val="center"/>
              <w:rPr>
                <w:rFonts w:cs="Arial"/>
                <w:b/>
                <w:color w:val="000000"/>
              </w:rPr>
            </w:pPr>
          </w:p>
        </w:tc>
        <w:tc>
          <w:tcPr>
            <w:tcW w:w="1219" w:type="dxa"/>
            <w:tcBorders>
              <w:top w:val="single" w:sz="4" w:space="0" w:color="auto"/>
            </w:tcBorders>
          </w:tcPr>
          <w:p w:rsidR="00B83890" w:rsidRPr="00355A4A" w:rsidRDefault="00B83890" w:rsidP="006E6DC8">
            <w:pPr>
              <w:jc w:val="right"/>
              <w:rPr>
                <w:rFonts w:cs="Arial"/>
                <w:b/>
                <w:color w:val="000000"/>
              </w:rPr>
            </w:pPr>
          </w:p>
        </w:tc>
        <w:tc>
          <w:tcPr>
            <w:tcW w:w="1319" w:type="dxa"/>
            <w:tcBorders>
              <w:top w:val="single" w:sz="4" w:space="0" w:color="auto"/>
            </w:tcBorders>
          </w:tcPr>
          <w:p w:rsidR="00B83890" w:rsidRPr="00355A4A" w:rsidRDefault="00B83890" w:rsidP="006E6DC8">
            <w:pPr>
              <w:jc w:val="right"/>
              <w:rPr>
                <w:rFonts w:cs="Arial"/>
                <w:b/>
                <w:color w:val="000000"/>
              </w:rPr>
            </w:pPr>
          </w:p>
        </w:tc>
        <w:tc>
          <w:tcPr>
            <w:tcW w:w="236" w:type="dxa"/>
            <w:noWrap/>
          </w:tcPr>
          <w:p w:rsidR="00B83890" w:rsidRPr="00355A4A" w:rsidRDefault="00B83890" w:rsidP="006E6DC8">
            <w:pPr>
              <w:rPr>
                <w:rFonts w:cs="Arial"/>
                <w:b/>
                <w:color w:val="000000"/>
              </w:rPr>
            </w:pPr>
          </w:p>
        </w:tc>
        <w:tc>
          <w:tcPr>
            <w:tcW w:w="1199" w:type="dxa"/>
            <w:tcBorders>
              <w:top w:val="single" w:sz="4" w:space="0" w:color="auto"/>
            </w:tcBorders>
          </w:tcPr>
          <w:p w:rsidR="00B83890" w:rsidRPr="00355A4A" w:rsidRDefault="00B83890" w:rsidP="006E6DC8">
            <w:pPr>
              <w:rPr>
                <w:rFonts w:cs="Arial"/>
                <w:b/>
                <w:color w:val="000000"/>
              </w:rPr>
            </w:pPr>
          </w:p>
        </w:tc>
        <w:tc>
          <w:tcPr>
            <w:tcW w:w="1179" w:type="dxa"/>
            <w:tcBorders>
              <w:top w:val="single" w:sz="4" w:space="0" w:color="auto"/>
            </w:tcBorders>
          </w:tcPr>
          <w:p w:rsidR="00B83890" w:rsidRPr="00355A4A" w:rsidRDefault="00B83890" w:rsidP="006E6DC8">
            <w:pPr>
              <w:rPr>
                <w:rFonts w:cs="Arial"/>
                <w:b/>
                <w:color w:val="000000"/>
              </w:rPr>
            </w:pPr>
          </w:p>
        </w:tc>
      </w:tr>
      <w:tr w:rsidR="00B83890" w:rsidRPr="00EA568B" w:rsidTr="006E6DC8">
        <w:trPr>
          <w:trHeight w:val="300"/>
        </w:trPr>
        <w:tc>
          <w:tcPr>
            <w:tcW w:w="3407" w:type="dxa"/>
          </w:tcPr>
          <w:p w:rsidR="00B83890" w:rsidRPr="00EA568B" w:rsidRDefault="00B83890" w:rsidP="006E6DC8">
            <w:pPr>
              <w:rPr>
                <w:rFonts w:cs="Arial"/>
                <w:b/>
                <w:bCs/>
                <w:color w:val="000000"/>
              </w:rPr>
            </w:pPr>
            <w:r w:rsidRPr="00EA568B">
              <w:rPr>
                <w:rFonts w:cs="Arial"/>
                <w:b/>
                <w:bCs/>
                <w:color w:val="000000"/>
              </w:rPr>
              <w:t>TOTAL</w:t>
            </w:r>
          </w:p>
        </w:tc>
        <w:tc>
          <w:tcPr>
            <w:tcW w:w="1219" w:type="dxa"/>
          </w:tcPr>
          <w:p w:rsidR="00B83890" w:rsidRPr="00EA568B" w:rsidRDefault="00B83890" w:rsidP="006E6DC8">
            <w:pPr>
              <w:jc w:val="right"/>
              <w:rPr>
                <w:rFonts w:cs="Arial"/>
                <w:b/>
                <w:bCs/>
                <w:color w:val="000000"/>
              </w:rPr>
            </w:pPr>
            <w:r>
              <w:rPr>
                <w:rFonts w:cs="Arial"/>
                <w:b/>
                <w:bCs/>
                <w:color w:val="000000"/>
              </w:rPr>
              <w:t>$549,000</w:t>
            </w:r>
          </w:p>
        </w:tc>
        <w:tc>
          <w:tcPr>
            <w:tcW w:w="1319" w:type="dxa"/>
          </w:tcPr>
          <w:p w:rsidR="00B83890" w:rsidRPr="00EA568B" w:rsidRDefault="00B83890" w:rsidP="006E6DC8">
            <w:pPr>
              <w:jc w:val="right"/>
              <w:rPr>
                <w:rFonts w:cs="Arial"/>
                <w:b/>
                <w:bCs/>
                <w:color w:val="000000"/>
              </w:rPr>
            </w:pPr>
            <w:r>
              <w:rPr>
                <w:rFonts w:cs="Arial"/>
                <w:b/>
                <w:bCs/>
                <w:color w:val="000000"/>
              </w:rPr>
              <w:t>$846,000</w:t>
            </w:r>
          </w:p>
        </w:tc>
        <w:tc>
          <w:tcPr>
            <w:tcW w:w="236" w:type="dxa"/>
            <w:noWrap/>
          </w:tcPr>
          <w:p w:rsidR="00B83890" w:rsidRPr="00EA568B" w:rsidRDefault="00B83890" w:rsidP="006E6DC8">
            <w:pPr>
              <w:rPr>
                <w:rFonts w:cs="Arial"/>
                <w:color w:val="000000"/>
              </w:rPr>
            </w:pPr>
          </w:p>
        </w:tc>
        <w:tc>
          <w:tcPr>
            <w:tcW w:w="1199" w:type="dxa"/>
          </w:tcPr>
          <w:p w:rsidR="00B83890" w:rsidRPr="00EA568B" w:rsidRDefault="00B83890" w:rsidP="006E6DC8">
            <w:pPr>
              <w:jc w:val="right"/>
              <w:rPr>
                <w:rFonts w:cs="Arial"/>
                <w:b/>
                <w:bCs/>
                <w:color w:val="000000"/>
              </w:rPr>
            </w:pPr>
            <w:r>
              <w:rPr>
                <w:rFonts w:cs="Arial"/>
                <w:b/>
                <w:bCs/>
                <w:color w:val="000000"/>
              </w:rPr>
              <w:t>$542,000</w:t>
            </w:r>
          </w:p>
        </w:tc>
        <w:tc>
          <w:tcPr>
            <w:tcW w:w="1179" w:type="dxa"/>
          </w:tcPr>
          <w:p w:rsidR="00B83890" w:rsidRPr="00EA568B" w:rsidRDefault="00B83890" w:rsidP="006E6DC8">
            <w:pPr>
              <w:jc w:val="right"/>
              <w:rPr>
                <w:rFonts w:cs="Arial"/>
                <w:b/>
                <w:bCs/>
                <w:color w:val="000000"/>
              </w:rPr>
            </w:pPr>
            <w:r>
              <w:rPr>
                <w:rFonts w:cs="Arial"/>
                <w:b/>
                <w:bCs/>
                <w:color w:val="000000"/>
              </w:rPr>
              <w:t>$700,000</w:t>
            </w:r>
          </w:p>
        </w:tc>
      </w:tr>
    </w:tbl>
    <w:p w:rsidR="00B83890" w:rsidRPr="00EA568B" w:rsidRDefault="00B83890" w:rsidP="00B83890">
      <w:pPr>
        <w:pStyle w:val="Heading3"/>
        <w:rPr>
          <w:rFonts w:ascii="Times New Roman" w:hAnsi="Times New Roman"/>
          <w:b w:val="0"/>
          <w:i/>
          <w:color w:val="000000"/>
          <w:sz w:val="20"/>
        </w:rPr>
      </w:pPr>
    </w:p>
    <w:p w:rsidR="00B83890" w:rsidRPr="00EA568B" w:rsidRDefault="00B83890" w:rsidP="002F6ECA">
      <w:pPr>
        <w:pStyle w:val="Heading4"/>
      </w:pPr>
      <w:r w:rsidRPr="00EA568B">
        <w:t>16(e) Reconciliation of executive numbers</w:t>
      </w:r>
    </w:p>
    <w:tbl>
      <w:tblPr>
        <w:tblW w:w="8874" w:type="dxa"/>
        <w:tblLayout w:type="fixed"/>
        <w:tblCellMar>
          <w:left w:w="43" w:type="dxa"/>
          <w:right w:w="43" w:type="dxa"/>
        </w:tblCellMar>
        <w:tblLook w:val="01E0" w:firstRow="1" w:lastRow="1" w:firstColumn="1" w:lastColumn="1" w:noHBand="0" w:noVBand="0"/>
        <w:tblCaption w:val="Responsible Persons: Reconciliation of Executive Numbers"/>
        <w:tblDescription w:val="This table shows the Reconciliation of Executive Numbers for 2012–13 with comparison to 2011–12."/>
      </w:tblPr>
      <w:tblGrid>
        <w:gridCol w:w="610"/>
        <w:gridCol w:w="6237"/>
        <w:gridCol w:w="945"/>
        <w:gridCol w:w="1082"/>
      </w:tblGrid>
      <w:tr w:rsidR="00B83890" w:rsidRPr="00EA568B" w:rsidTr="006E6DC8">
        <w:trPr>
          <w:cantSplit/>
        </w:trPr>
        <w:tc>
          <w:tcPr>
            <w:tcW w:w="610" w:type="dxa"/>
            <w:tcBorders>
              <w:bottom w:val="single" w:sz="6" w:space="0" w:color="auto"/>
            </w:tcBorders>
          </w:tcPr>
          <w:p w:rsidR="00B83890" w:rsidRPr="00EA568B" w:rsidRDefault="00B83890" w:rsidP="006E6DC8">
            <w:pPr>
              <w:pStyle w:val="TabletextheadingCentred"/>
            </w:pPr>
          </w:p>
        </w:tc>
        <w:tc>
          <w:tcPr>
            <w:tcW w:w="6237" w:type="dxa"/>
            <w:tcBorders>
              <w:bottom w:val="single" w:sz="6" w:space="0" w:color="auto"/>
            </w:tcBorders>
          </w:tcPr>
          <w:p w:rsidR="00B83890" w:rsidRPr="00EA568B" w:rsidRDefault="00B83890" w:rsidP="006E6DC8">
            <w:pPr>
              <w:pStyle w:val="TabletextheadingCentred"/>
            </w:pPr>
          </w:p>
        </w:tc>
        <w:tc>
          <w:tcPr>
            <w:tcW w:w="945" w:type="dxa"/>
            <w:tcBorders>
              <w:bottom w:val="single" w:sz="6" w:space="0" w:color="auto"/>
            </w:tcBorders>
          </w:tcPr>
          <w:p w:rsidR="00B83890" w:rsidRDefault="00B83890" w:rsidP="006E6DC8">
            <w:pPr>
              <w:jc w:val="right"/>
              <w:rPr>
                <w:b/>
                <w:i/>
                <w:sz w:val="18"/>
                <w:lang w:val="en-GB"/>
              </w:rPr>
            </w:pPr>
            <w:r>
              <w:rPr>
                <w:b/>
                <w:lang w:val="en-GB"/>
              </w:rPr>
              <w:t>2013</w:t>
            </w:r>
          </w:p>
        </w:tc>
        <w:tc>
          <w:tcPr>
            <w:tcW w:w="1082" w:type="dxa"/>
            <w:tcBorders>
              <w:bottom w:val="single" w:sz="6" w:space="0" w:color="auto"/>
            </w:tcBorders>
          </w:tcPr>
          <w:p w:rsidR="00B83890" w:rsidRDefault="00B83890" w:rsidP="006E6DC8">
            <w:pPr>
              <w:jc w:val="right"/>
              <w:rPr>
                <w:b/>
                <w:i/>
                <w:sz w:val="18"/>
                <w:lang w:val="en-GB"/>
              </w:rPr>
            </w:pPr>
            <w:r>
              <w:rPr>
                <w:b/>
                <w:lang w:val="en-GB"/>
              </w:rPr>
              <w:t>2012</w:t>
            </w:r>
          </w:p>
        </w:tc>
      </w:tr>
      <w:tr w:rsidR="00B83890" w:rsidRPr="00EA568B" w:rsidTr="006E6DC8">
        <w:trPr>
          <w:cantSplit/>
        </w:trPr>
        <w:tc>
          <w:tcPr>
            <w:tcW w:w="610" w:type="dxa"/>
            <w:tcBorders>
              <w:top w:val="single" w:sz="6" w:space="0" w:color="auto"/>
              <w:bottom w:val="single" w:sz="4" w:space="0" w:color="auto"/>
            </w:tcBorders>
            <w:vAlign w:val="bottom"/>
          </w:tcPr>
          <w:p w:rsidR="00B83890" w:rsidRPr="00EA568B" w:rsidRDefault="00B83890" w:rsidP="006E6DC8">
            <w:pPr>
              <w:pStyle w:val="TableText"/>
              <w:rPr>
                <w:sz w:val="20"/>
                <w:szCs w:val="20"/>
              </w:rPr>
            </w:pPr>
          </w:p>
        </w:tc>
        <w:tc>
          <w:tcPr>
            <w:tcW w:w="6237" w:type="dxa"/>
            <w:tcBorders>
              <w:top w:val="single" w:sz="6" w:space="0" w:color="auto"/>
              <w:bottom w:val="single" w:sz="4" w:space="0" w:color="auto"/>
            </w:tcBorders>
            <w:vAlign w:val="bottom"/>
          </w:tcPr>
          <w:p w:rsidR="00B83890" w:rsidRPr="00EA568B" w:rsidRDefault="00B83890" w:rsidP="006E6DC8">
            <w:pPr>
              <w:pStyle w:val="TableText"/>
              <w:rPr>
                <w:sz w:val="20"/>
                <w:szCs w:val="20"/>
              </w:rPr>
            </w:pPr>
            <w:r w:rsidRPr="00EA568B">
              <w:rPr>
                <w:sz w:val="20"/>
                <w:szCs w:val="20"/>
              </w:rPr>
              <w:t>Executives with remuner</w:t>
            </w:r>
            <w:r>
              <w:rPr>
                <w:sz w:val="20"/>
                <w:szCs w:val="20"/>
              </w:rPr>
              <w:t>ation over $100,000</w:t>
            </w:r>
          </w:p>
        </w:tc>
        <w:tc>
          <w:tcPr>
            <w:tcW w:w="945" w:type="dxa"/>
            <w:tcBorders>
              <w:top w:val="single" w:sz="6" w:space="0" w:color="auto"/>
              <w:bottom w:val="single" w:sz="4" w:space="0" w:color="auto"/>
            </w:tcBorders>
            <w:vAlign w:val="bottom"/>
          </w:tcPr>
          <w:p w:rsidR="00B83890" w:rsidRPr="00EA568B" w:rsidRDefault="00B83890" w:rsidP="006E6DC8">
            <w:pPr>
              <w:pStyle w:val="TableofFigures"/>
              <w:jc w:val="right"/>
              <w:rPr>
                <w:rFonts w:ascii="Arial" w:hAnsi="Arial" w:cs="Arial"/>
              </w:rPr>
            </w:pPr>
            <w:r>
              <w:rPr>
                <w:rFonts w:ascii="Arial" w:hAnsi="Arial" w:cs="Arial"/>
              </w:rPr>
              <w:t>3</w:t>
            </w:r>
          </w:p>
        </w:tc>
        <w:tc>
          <w:tcPr>
            <w:tcW w:w="1082" w:type="dxa"/>
            <w:tcBorders>
              <w:top w:val="single" w:sz="6" w:space="0" w:color="auto"/>
              <w:bottom w:val="single" w:sz="4" w:space="0" w:color="auto"/>
            </w:tcBorders>
            <w:vAlign w:val="bottom"/>
          </w:tcPr>
          <w:p w:rsidR="00B83890" w:rsidRPr="00EA568B" w:rsidRDefault="00B83890" w:rsidP="006E6DC8">
            <w:pPr>
              <w:pStyle w:val="TableofFigures"/>
              <w:jc w:val="right"/>
              <w:rPr>
                <w:rFonts w:ascii="Arial" w:hAnsi="Arial" w:cs="Arial"/>
              </w:rPr>
            </w:pPr>
            <w:r w:rsidRPr="00EA568B">
              <w:rPr>
                <w:rFonts w:ascii="Arial" w:hAnsi="Arial" w:cs="Arial"/>
              </w:rPr>
              <w:t>4</w:t>
            </w:r>
          </w:p>
        </w:tc>
      </w:tr>
      <w:tr w:rsidR="00B83890" w:rsidRPr="00EA568B" w:rsidTr="006E6DC8">
        <w:trPr>
          <w:cantSplit/>
        </w:trPr>
        <w:tc>
          <w:tcPr>
            <w:tcW w:w="610" w:type="dxa"/>
            <w:tcBorders>
              <w:top w:val="single" w:sz="4" w:space="0" w:color="auto"/>
            </w:tcBorders>
            <w:vAlign w:val="bottom"/>
          </w:tcPr>
          <w:p w:rsidR="00B83890" w:rsidRPr="00EA568B" w:rsidRDefault="00B83890" w:rsidP="006E6DC8">
            <w:pPr>
              <w:pStyle w:val="Tabletextheading"/>
              <w:jc w:val="left"/>
              <w:rPr>
                <w:rFonts w:cs="Arial"/>
                <w:noProof w:val="0"/>
                <w:sz w:val="20"/>
              </w:rPr>
            </w:pPr>
            <w:r w:rsidRPr="00EA568B">
              <w:rPr>
                <w:rFonts w:cs="Arial"/>
                <w:noProof w:val="0"/>
                <w:sz w:val="20"/>
              </w:rPr>
              <w:t>Add</w:t>
            </w:r>
          </w:p>
        </w:tc>
        <w:tc>
          <w:tcPr>
            <w:tcW w:w="6237" w:type="dxa"/>
            <w:tcBorders>
              <w:top w:val="single" w:sz="4" w:space="0" w:color="auto"/>
            </w:tcBorders>
            <w:vAlign w:val="bottom"/>
          </w:tcPr>
          <w:p w:rsidR="00B83890" w:rsidRPr="00EA568B" w:rsidRDefault="00B83890" w:rsidP="006E6DC8">
            <w:pPr>
              <w:pStyle w:val="TableText"/>
              <w:rPr>
                <w:sz w:val="20"/>
                <w:szCs w:val="20"/>
              </w:rPr>
            </w:pPr>
            <w:r w:rsidRPr="00EA568B">
              <w:rPr>
                <w:sz w:val="20"/>
                <w:szCs w:val="20"/>
              </w:rPr>
              <w:t>Accountable Officer (Chief Executive Officer)</w:t>
            </w:r>
          </w:p>
        </w:tc>
        <w:tc>
          <w:tcPr>
            <w:tcW w:w="945" w:type="dxa"/>
            <w:tcBorders>
              <w:top w:val="single" w:sz="4" w:space="0" w:color="auto"/>
            </w:tcBorders>
            <w:vAlign w:val="bottom"/>
          </w:tcPr>
          <w:p w:rsidR="00B83890" w:rsidRPr="00EA568B" w:rsidRDefault="00B83890" w:rsidP="006E6DC8">
            <w:pPr>
              <w:pStyle w:val="TableofFigures"/>
              <w:jc w:val="right"/>
              <w:rPr>
                <w:rFonts w:ascii="Arial" w:hAnsi="Arial" w:cs="Arial"/>
              </w:rPr>
            </w:pPr>
            <w:r>
              <w:rPr>
                <w:rFonts w:ascii="Arial" w:hAnsi="Arial" w:cs="Arial"/>
              </w:rPr>
              <w:t>1</w:t>
            </w:r>
          </w:p>
        </w:tc>
        <w:tc>
          <w:tcPr>
            <w:tcW w:w="1082" w:type="dxa"/>
            <w:tcBorders>
              <w:top w:val="single" w:sz="4" w:space="0" w:color="auto"/>
            </w:tcBorders>
            <w:vAlign w:val="bottom"/>
          </w:tcPr>
          <w:p w:rsidR="00B83890" w:rsidRPr="00EA568B" w:rsidRDefault="00B83890" w:rsidP="006E6DC8">
            <w:pPr>
              <w:pStyle w:val="TableofFigures"/>
              <w:jc w:val="right"/>
              <w:rPr>
                <w:rFonts w:ascii="Arial" w:hAnsi="Arial" w:cs="Arial"/>
              </w:rPr>
            </w:pPr>
            <w:r w:rsidRPr="00EA568B">
              <w:rPr>
                <w:rFonts w:ascii="Arial" w:hAnsi="Arial" w:cs="Arial"/>
              </w:rPr>
              <w:t>1</w:t>
            </w:r>
          </w:p>
        </w:tc>
      </w:tr>
      <w:tr w:rsidR="00B83890" w:rsidRPr="002909C7" w:rsidTr="006E6DC8">
        <w:trPr>
          <w:cantSplit/>
        </w:trPr>
        <w:tc>
          <w:tcPr>
            <w:tcW w:w="610" w:type="dxa"/>
            <w:tcBorders>
              <w:top w:val="single" w:sz="6" w:space="0" w:color="auto"/>
              <w:bottom w:val="single" w:sz="12" w:space="0" w:color="auto"/>
            </w:tcBorders>
            <w:vAlign w:val="bottom"/>
          </w:tcPr>
          <w:p w:rsidR="00B83890" w:rsidRPr="00EA568B" w:rsidRDefault="00B83890" w:rsidP="006E6DC8">
            <w:pPr>
              <w:pStyle w:val="TableText"/>
              <w:rPr>
                <w:b/>
                <w:bCs/>
                <w:sz w:val="20"/>
                <w:szCs w:val="20"/>
              </w:rPr>
            </w:pPr>
          </w:p>
        </w:tc>
        <w:tc>
          <w:tcPr>
            <w:tcW w:w="6237" w:type="dxa"/>
            <w:tcBorders>
              <w:top w:val="single" w:sz="6" w:space="0" w:color="auto"/>
              <w:bottom w:val="single" w:sz="12" w:space="0" w:color="auto"/>
            </w:tcBorders>
            <w:vAlign w:val="bottom"/>
          </w:tcPr>
          <w:p w:rsidR="00B83890" w:rsidRPr="00EA568B" w:rsidRDefault="00B83890" w:rsidP="006E6DC8">
            <w:pPr>
              <w:pStyle w:val="TableText"/>
              <w:rPr>
                <w:b/>
                <w:bCs/>
                <w:sz w:val="20"/>
                <w:szCs w:val="20"/>
              </w:rPr>
            </w:pPr>
            <w:r w:rsidRPr="00EA568B">
              <w:rPr>
                <w:b/>
                <w:bCs/>
                <w:sz w:val="20"/>
                <w:szCs w:val="20"/>
              </w:rPr>
              <w:t>Total executive numbers at 30 June</w:t>
            </w:r>
          </w:p>
        </w:tc>
        <w:tc>
          <w:tcPr>
            <w:tcW w:w="945" w:type="dxa"/>
            <w:tcBorders>
              <w:top w:val="single" w:sz="6" w:space="0" w:color="auto"/>
              <w:bottom w:val="single" w:sz="12" w:space="0" w:color="auto"/>
            </w:tcBorders>
            <w:vAlign w:val="bottom"/>
          </w:tcPr>
          <w:p w:rsidR="00B83890" w:rsidRPr="00EA568B" w:rsidRDefault="00B83890" w:rsidP="006E6DC8">
            <w:pPr>
              <w:pStyle w:val="TableofFigures"/>
              <w:jc w:val="right"/>
              <w:rPr>
                <w:rFonts w:ascii="Arial" w:hAnsi="Arial" w:cs="Arial"/>
                <w:b/>
                <w:bCs/>
              </w:rPr>
            </w:pPr>
            <w:r>
              <w:rPr>
                <w:rFonts w:ascii="Arial" w:hAnsi="Arial" w:cs="Arial"/>
                <w:b/>
                <w:bCs/>
              </w:rPr>
              <w:t>4</w:t>
            </w:r>
          </w:p>
        </w:tc>
        <w:tc>
          <w:tcPr>
            <w:tcW w:w="1082" w:type="dxa"/>
            <w:tcBorders>
              <w:top w:val="single" w:sz="6" w:space="0" w:color="auto"/>
              <w:bottom w:val="single" w:sz="12" w:space="0" w:color="auto"/>
            </w:tcBorders>
            <w:vAlign w:val="bottom"/>
          </w:tcPr>
          <w:p w:rsidR="00B83890" w:rsidRPr="00EA568B" w:rsidRDefault="00B83890" w:rsidP="006E6DC8">
            <w:pPr>
              <w:pStyle w:val="TableofFigures"/>
              <w:jc w:val="right"/>
              <w:rPr>
                <w:rFonts w:ascii="Arial" w:hAnsi="Arial" w:cs="Arial"/>
                <w:b/>
                <w:bCs/>
              </w:rPr>
            </w:pPr>
            <w:r w:rsidRPr="00EA568B">
              <w:rPr>
                <w:rFonts w:ascii="Arial" w:hAnsi="Arial" w:cs="Arial"/>
                <w:b/>
                <w:bCs/>
              </w:rPr>
              <w:t>5</w:t>
            </w:r>
          </w:p>
        </w:tc>
      </w:tr>
    </w:tbl>
    <w:p w:rsidR="00B83890" w:rsidRPr="00C459F0" w:rsidRDefault="00B83890" w:rsidP="00B83890">
      <w:pPr>
        <w:pStyle w:val="NormalIndent"/>
      </w:pPr>
    </w:p>
    <w:p w:rsidR="00B83890" w:rsidRPr="0021295E" w:rsidRDefault="00B83890" w:rsidP="00B83890">
      <w:pPr>
        <w:rPr>
          <w:color w:val="000000"/>
        </w:rPr>
      </w:pPr>
    </w:p>
    <w:p w:rsidR="00B83890" w:rsidRPr="00D605F7" w:rsidRDefault="00B83890" w:rsidP="00513943">
      <w:pPr>
        <w:pStyle w:val="Heading3"/>
        <w:rPr>
          <w:i/>
        </w:rPr>
      </w:pPr>
      <w:r w:rsidRPr="00D605F7">
        <w:t>1</w:t>
      </w:r>
      <w:r>
        <w:t>7</w:t>
      </w:r>
      <w:r w:rsidRPr="00D605F7">
        <w:t>.</w:t>
      </w:r>
      <w:r w:rsidRPr="00D605F7">
        <w:tab/>
        <w:t>SUPERANNUATION</w:t>
      </w:r>
    </w:p>
    <w:p w:rsidR="00B83890" w:rsidRPr="0021295E" w:rsidRDefault="00B83890" w:rsidP="00B83890">
      <w:pPr>
        <w:rPr>
          <w:color w:val="000000"/>
        </w:rPr>
      </w:pPr>
      <w:r w:rsidRPr="0021295E">
        <w:rPr>
          <w:color w:val="000000"/>
        </w:rPr>
        <w:t>Museum Victoria has, in its staffing profile, a number of employees who are members of the following public sector superannuation schemes:</w:t>
      </w:r>
    </w:p>
    <w:p w:rsidR="00B83890" w:rsidRPr="0021295E" w:rsidRDefault="00B83890" w:rsidP="00B83890">
      <w:pPr>
        <w:rPr>
          <w:color w:val="000000"/>
        </w:rPr>
      </w:pPr>
    </w:p>
    <w:p w:rsidR="00B83890" w:rsidRPr="0021295E" w:rsidRDefault="00B83890" w:rsidP="00C14C5D">
      <w:pPr>
        <w:pStyle w:val="Heading4"/>
        <w:numPr>
          <w:ilvl w:val="0"/>
          <w:numId w:val="31"/>
        </w:numPr>
        <w:ind w:hanging="720"/>
      </w:pPr>
      <w:r w:rsidRPr="0021295E">
        <w:t>State Superannuation Fund (Revised Scheme &amp; New)</w:t>
      </w:r>
    </w:p>
    <w:p w:rsidR="00B83890" w:rsidRPr="0021295E" w:rsidRDefault="00B83890" w:rsidP="00B83890">
      <w:pPr>
        <w:ind w:left="720"/>
        <w:rPr>
          <w:color w:val="000000"/>
          <w:lang w:val="en-GB"/>
        </w:rPr>
      </w:pPr>
      <w:r w:rsidRPr="0021295E">
        <w:rPr>
          <w:color w:val="000000"/>
        </w:rPr>
        <w:t xml:space="preserve">Employer contributions paid to the above Schemes were </w:t>
      </w:r>
      <w:r w:rsidRPr="00E270DB">
        <w:rPr>
          <w:color w:val="000000"/>
        </w:rPr>
        <w:t>$</w:t>
      </w:r>
      <w:r>
        <w:rPr>
          <w:color w:val="000000"/>
        </w:rPr>
        <w:t xml:space="preserve">448,406 </w:t>
      </w:r>
      <w:r w:rsidRPr="0021295E">
        <w:rPr>
          <w:color w:val="000000"/>
        </w:rPr>
        <w:t>(20</w:t>
      </w:r>
      <w:r>
        <w:rPr>
          <w:color w:val="000000"/>
        </w:rPr>
        <w:t>11</w:t>
      </w:r>
      <w:r>
        <w:rPr>
          <w:b/>
        </w:rPr>
        <w:t>–</w:t>
      </w:r>
      <w:r>
        <w:rPr>
          <w:color w:val="000000"/>
        </w:rPr>
        <w:t>12:</w:t>
      </w:r>
      <w:r w:rsidRPr="0021295E">
        <w:rPr>
          <w:color w:val="000000"/>
        </w:rPr>
        <w:t xml:space="preserve"> </w:t>
      </w:r>
      <w:r>
        <w:rPr>
          <w:color w:val="000000"/>
        </w:rPr>
        <w:t>$480,545</w:t>
      </w:r>
      <w:r w:rsidRPr="0021295E">
        <w:rPr>
          <w:color w:val="000000"/>
        </w:rPr>
        <w:t xml:space="preserve">). </w:t>
      </w:r>
      <w:r w:rsidRPr="007656C4">
        <w:rPr>
          <w:color w:val="000000"/>
        </w:rPr>
        <w:t xml:space="preserve">Contributions </w:t>
      </w:r>
      <w:r w:rsidRPr="007656C4">
        <w:rPr>
          <w:color w:val="000000"/>
          <w:lang w:val="en-GB"/>
        </w:rPr>
        <w:t>outstanding at 30 June 201</w:t>
      </w:r>
      <w:r>
        <w:rPr>
          <w:color w:val="000000"/>
          <w:lang w:val="en-GB"/>
        </w:rPr>
        <w:t>3</w:t>
      </w:r>
      <w:r w:rsidRPr="007656C4">
        <w:rPr>
          <w:color w:val="000000"/>
          <w:lang w:val="en-GB"/>
        </w:rPr>
        <w:t xml:space="preserve"> were $</w:t>
      </w:r>
      <w:r w:rsidRPr="002B754F">
        <w:rPr>
          <w:color w:val="000000"/>
          <w:lang w:val="en-GB"/>
        </w:rPr>
        <w:t>Nil</w:t>
      </w:r>
      <w:r w:rsidRPr="007656C4">
        <w:rPr>
          <w:color w:val="000000"/>
          <w:lang w:val="en-GB"/>
        </w:rPr>
        <w:t xml:space="preserve"> </w:t>
      </w:r>
      <w:r w:rsidRPr="007656C4">
        <w:rPr>
          <w:rFonts w:cs="Arial"/>
        </w:rPr>
        <w:t>(20</w:t>
      </w:r>
      <w:r>
        <w:rPr>
          <w:rFonts w:cs="Arial"/>
        </w:rPr>
        <w:t>11</w:t>
      </w:r>
      <w:r>
        <w:rPr>
          <w:b/>
        </w:rPr>
        <w:t>–</w:t>
      </w:r>
      <w:r w:rsidRPr="007656C4">
        <w:rPr>
          <w:rFonts w:cs="Arial"/>
        </w:rPr>
        <w:t>1</w:t>
      </w:r>
      <w:r>
        <w:rPr>
          <w:rFonts w:cs="Arial"/>
        </w:rPr>
        <w:t>2</w:t>
      </w:r>
      <w:r w:rsidRPr="007656C4">
        <w:rPr>
          <w:rFonts w:cs="Arial"/>
        </w:rPr>
        <w:t>: $Nil</w:t>
      </w:r>
      <w:r w:rsidRPr="007656C4">
        <w:t>)</w:t>
      </w:r>
      <w:r w:rsidRPr="007656C4">
        <w:rPr>
          <w:color w:val="000000"/>
          <w:lang w:val="en-GB"/>
        </w:rPr>
        <w:t>. The contributions rates are advised by the Trustees of the Funds.</w:t>
      </w:r>
    </w:p>
    <w:p w:rsidR="00B83890" w:rsidRPr="0021295E" w:rsidRDefault="00B83890" w:rsidP="00B83890">
      <w:pPr>
        <w:ind w:left="720"/>
        <w:rPr>
          <w:color w:val="000000"/>
          <w:lang w:val="en-GB"/>
        </w:rPr>
      </w:pPr>
    </w:p>
    <w:p w:rsidR="00B83890" w:rsidRPr="0021295E" w:rsidRDefault="00B83890" w:rsidP="002F6ECA">
      <w:pPr>
        <w:pStyle w:val="Heading4"/>
        <w:rPr>
          <w:lang w:val="en-GB"/>
        </w:rPr>
      </w:pPr>
      <w:r w:rsidRPr="0021295E">
        <w:t>(b)</w:t>
      </w:r>
      <w:r w:rsidRPr="0021295E">
        <w:tab/>
        <w:t>State Superannuation Fund (VicSuper Scheme)</w:t>
      </w:r>
    </w:p>
    <w:p w:rsidR="00B83890" w:rsidRPr="0021295E" w:rsidRDefault="00B83890" w:rsidP="00B83890">
      <w:pPr>
        <w:ind w:left="720"/>
        <w:rPr>
          <w:color w:val="000000"/>
          <w:lang w:val="en-GB"/>
        </w:rPr>
      </w:pPr>
      <w:r w:rsidRPr="0021295E">
        <w:rPr>
          <w:color w:val="000000"/>
        </w:rPr>
        <w:t xml:space="preserve">Employer contributions paid to the above Scheme were </w:t>
      </w:r>
      <w:r>
        <w:rPr>
          <w:color w:val="000000"/>
        </w:rPr>
        <w:t xml:space="preserve">$1,870,339 </w:t>
      </w:r>
      <w:r w:rsidRPr="0021295E">
        <w:rPr>
          <w:color w:val="000000"/>
        </w:rPr>
        <w:t>(20</w:t>
      </w:r>
      <w:r>
        <w:rPr>
          <w:color w:val="000000"/>
        </w:rPr>
        <w:t>11</w:t>
      </w:r>
      <w:r>
        <w:rPr>
          <w:b/>
        </w:rPr>
        <w:t>–</w:t>
      </w:r>
      <w:r>
        <w:rPr>
          <w:color w:val="000000"/>
        </w:rPr>
        <w:t>12:</w:t>
      </w:r>
      <w:r w:rsidRPr="0021295E">
        <w:rPr>
          <w:color w:val="000000"/>
        </w:rPr>
        <w:t xml:space="preserve"> $</w:t>
      </w:r>
      <w:r>
        <w:rPr>
          <w:color w:val="000000"/>
        </w:rPr>
        <w:t>1,899,278</w:t>
      </w:r>
      <w:r w:rsidRPr="0021295E">
        <w:rPr>
          <w:color w:val="000000"/>
        </w:rPr>
        <w:t xml:space="preserve">). Contributions outstanding at </w:t>
      </w:r>
      <w:r>
        <w:rPr>
          <w:color w:val="000000"/>
        </w:rPr>
        <w:t>30 June 2013</w:t>
      </w:r>
      <w:r w:rsidRPr="0021295E">
        <w:rPr>
          <w:color w:val="000000"/>
        </w:rPr>
        <w:t xml:space="preserve"> were $</w:t>
      </w:r>
      <w:r w:rsidRPr="002B754F">
        <w:rPr>
          <w:color w:val="000000"/>
        </w:rPr>
        <w:t>Nil</w:t>
      </w:r>
      <w:r w:rsidRPr="00E85F74">
        <w:rPr>
          <w:color w:val="000000"/>
        </w:rPr>
        <w:t xml:space="preserve"> </w:t>
      </w:r>
      <w:r w:rsidRPr="00E85F74">
        <w:rPr>
          <w:rFonts w:cs="Arial"/>
        </w:rPr>
        <w:t>(20</w:t>
      </w:r>
      <w:r>
        <w:rPr>
          <w:rFonts w:cs="Arial"/>
        </w:rPr>
        <w:t>11</w:t>
      </w:r>
      <w:r>
        <w:rPr>
          <w:b/>
        </w:rPr>
        <w:t>–</w:t>
      </w:r>
      <w:r>
        <w:rPr>
          <w:rFonts w:cs="Arial"/>
        </w:rPr>
        <w:t>12</w:t>
      </w:r>
      <w:r w:rsidRPr="00E85F74">
        <w:rPr>
          <w:rFonts w:cs="Arial"/>
        </w:rPr>
        <w:t xml:space="preserve">: </w:t>
      </w:r>
      <w:r>
        <w:rPr>
          <w:rFonts w:cs="Arial"/>
        </w:rPr>
        <w:t>$</w:t>
      </w:r>
      <w:r w:rsidRPr="00E85F74">
        <w:rPr>
          <w:rFonts w:cs="Arial"/>
        </w:rPr>
        <w:t>Nil</w:t>
      </w:r>
      <w:r w:rsidRPr="00E85F74">
        <w:t>)</w:t>
      </w:r>
      <w:r w:rsidRPr="00E85F74">
        <w:rPr>
          <w:color w:val="000000"/>
        </w:rPr>
        <w:t>.</w:t>
      </w:r>
      <w:r w:rsidRPr="0021295E">
        <w:rPr>
          <w:color w:val="000000"/>
        </w:rPr>
        <w:t xml:space="preserve">  This represented a contribution rate of </w:t>
      </w:r>
      <w:r w:rsidRPr="002B754F">
        <w:rPr>
          <w:color w:val="000000"/>
        </w:rPr>
        <w:t>9</w:t>
      </w:r>
      <w:r w:rsidRPr="0021295E">
        <w:rPr>
          <w:color w:val="000000"/>
        </w:rPr>
        <w:t xml:space="preserve">% of normal salary. </w:t>
      </w:r>
    </w:p>
    <w:p w:rsidR="00B83890" w:rsidRDefault="00B83890" w:rsidP="00B83890">
      <w:pPr>
        <w:pStyle w:val="NormalIndent"/>
        <w:tabs>
          <w:tab w:val="clear" w:pos="360"/>
          <w:tab w:val="left" w:pos="0"/>
        </w:tabs>
        <w:spacing w:before="120"/>
        <w:ind w:left="0" w:firstLine="0"/>
        <w:rPr>
          <w:color w:val="000000"/>
          <w:sz w:val="20"/>
        </w:rPr>
      </w:pPr>
      <w:r w:rsidRPr="0021295E">
        <w:rPr>
          <w:color w:val="000000"/>
          <w:sz w:val="20"/>
        </w:rPr>
        <w:t xml:space="preserve">Museum Victoria is required to recognise all superannuation payments as expenses in its </w:t>
      </w:r>
      <w:r>
        <w:rPr>
          <w:color w:val="000000"/>
          <w:sz w:val="20"/>
        </w:rPr>
        <w:t xml:space="preserve">comprehensive </w:t>
      </w:r>
      <w:r w:rsidRPr="0021295E">
        <w:rPr>
          <w:color w:val="000000"/>
          <w:sz w:val="20"/>
        </w:rPr>
        <w:t xml:space="preserve">operating statement.  The Department of Treasury and Finance shall recognise the aggregate unfunded superannuation liability relating to employing entities in its financial statements of </w:t>
      </w:r>
      <w:r>
        <w:rPr>
          <w:color w:val="000000"/>
          <w:sz w:val="20"/>
        </w:rPr>
        <w:t>30 June 2013</w:t>
      </w:r>
      <w:r w:rsidRPr="0021295E">
        <w:rPr>
          <w:color w:val="000000"/>
          <w:sz w:val="20"/>
        </w:rPr>
        <w:t xml:space="preserve"> as the Victorian Government has assumed responsibility for this liability.</w:t>
      </w:r>
    </w:p>
    <w:p w:rsidR="00751664" w:rsidRDefault="00751664">
      <w:pPr>
        <w:keepNext w:val="0"/>
        <w:spacing w:after="200" w:line="276" w:lineRule="auto"/>
        <w:outlineLvl w:val="9"/>
        <w:rPr>
          <w:b/>
        </w:rPr>
      </w:pPr>
      <w:r>
        <w:br w:type="page"/>
      </w:r>
    </w:p>
    <w:p w:rsidR="00B83890" w:rsidRPr="00D605F7" w:rsidRDefault="00B83890" w:rsidP="00513943">
      <w:pPr>
        <w:pStyle w:val="Heading3"/>
      </w:pPr>
      <w:r>
        <w:lastRenderedPageBreak/>
        <w:t>18</w:t>
      </w:r>
      <w:r w:rsidRPr="00D605F7">
        <w:t>.</w:t>
      </w:r>
      <w:r w:rsidRPr="00D605F7">
        <w:tab/>
        <w:t>LEASES</w:t>
      </w:r>
      <w:r>
        <w:t xml:space="preserve"> AND COMMITMENTS FOR EXPENDITURE</w:t>
      </w:r>
    </w:p>
    <w:p w:rsidR="00B83890" w:rsidRDefault="00B83890" w:rsidP="00B83890">
      <w:pPr>
        <w:pStyle w:val="NormalIndent"/>
        <w:tabs>
          <w:tab w:val="clear" w:pos="360"/>
          <w:tab w:val="left" w:pos="0"/>
        </w:tabs>
        <w:spacing w:before="120"/>
        <w:ind w:left="0" w:firstLine="0"/>
        <w:rPr>
          <w:color w:val="000000"/>
          <w:sz w:val="20"/>
        </w:rPr>
      </w:pPr>
    </w:p>
    <w:tbl>
      <w:tblPr>
        <w:tblW w:w="9385" w:type="dxa"/>
        <w:tblLayout w:type="fixed"/>
        <w:tblCellMar>
          <w:left w:w="30" w:type="dxa"/>
          <w:right w:w="30" w:type="dxa"/>
        </w:tblCellMar>
        <w:tblLook w:val="0000" w:firstRow="0" w:lastRow="0" w:firstColumn="0" w:lastColumn="0" w:noHBand="0" w:noVBand="0"/>
        <w:tblCaption w:val="Leases and Commitments for Expenditure: Opearating Lease Commitments"/>
        <w:tblDescription w:val="This table shows Operating Lease Commitments for 2012–13 with comparison to 2011–12."/>
      </w:tblPr>
      <w:tblGrid>
        <w:gridCol w:w="5984"/>
        <w:gridCol w:w="1984"/>
        <w:gridCol w:w="1417"/>
      </w:tblGrid>
      <w:tr w:rsidR="00B83890" w:rsidTr="006E6DC8">
        <w:trPr>
          <w:cantSplit/>
          <w:trHeight w:val="255"/>
        </w:trPr>
        <w:tc>
          <w:tcPr>
            <w:tcW w:w="5984" w:type="dxa"/>
            <w:vAlign w:val="center"/>
          </w:tcPr>
          <w:p w:rsidR="00B83890" w:rsidRDefault="00B83890" w:rsidP="006E6DC8">
            <w:pPr>
              <w:jc w:val="right"/>
              <w:rPr>
                <w:color w:val="000000"/>
                <w:lang w:val="en-GB"/>
              </w:rPr>
            </w:pPr>
          </w:p>
        </w:tc>
        <w:tc>
          <w:tcPr>
            <w:tcW w:w="1984" w:type="dxa"/>
          </w:tcPr>
          <w:p w:rsidR="00B83890" w:rsidRDefault="00B83890" w:rsidP="006E6DC8">
            <w:pPr>
              <w:jc w:val="right"/>
              <w:rPr>
                <w:b/>
                <w:i/>
                <w:sz w:val="18"/>
                <w:lang w:val="en-GB"/>
              </w:rPr>
            </w:pPr>
            <w:r>
              <w:rPr>
                <w:b/>
                <w:lang w:val="en-GB"/>
              </w:rPr>
              <w:t>2013</w:t>
            </w:r>
          </w:p>
        </w:tc>
        <w:tc>
          <w:tcPr>
            <w:tcW w:w="1417" w:type="dxa"/>
          </w:tcPr>
          <w:p w:rsidR="00B83890" w:rsidRDefault="00B83890" w:rsidP="006E6DC8">
            <w:pPr>
              <w:jc w:val="right"/>
              <w:rPr>
                <w:b/>
                <w:i/>
                <w:sz w:val="18"/>
                <w:lang w:val="en-GB"/>
              </w:rPr>
            </w:pPr>
            <w:r>
              <w:rPr>
                <w:b/>
                <w:lang w:val="en-GB"/>
              </w:rPr>
              <w:t>2012</w:t>
            </w:r>
          </w:p>
        </w:tc>
      </w:tr>
      <w:tr w:rsidR="00B83890" w:rsidTr="006E6DC8">
        <w:trPr>
          <w:cantSplit/>
          <w:trHeight w:val="255"/>
        </w:trPr>
        <w:tc>
          <w:tcPr>
            <w:tcW w:w="5984" w:type="dxa"/>
            <w:vAlign w:val="center"/>
          </w:tcPr>
          <w:p w:rsidR="00B83890" w:rsidRDefault="00B83890" w:rsidP="006E6DC8">
            <w:pPr>
              <w:jc w:val="right"/>
              <w:rPr>
                <w:color w:val="000000"/>
                <w:lang w:val="en-GB"/>
              </w:rPr>
            </w:pPr>
          </w:p>
        </w:tc>
        <w:tc>
          <w:tcPr>
            <w:tcW w:w="1984" w:type="dxa"/>
            <w:vAlign w:val="center"/>
          </w:tcPr>
          <w:p w:rsidR="00B83890" w:rsidRDefault="00B83890" w:rsidP="006E6DC8">
            <w:pPr>
              <w:jc w:val="right"/>
              <w:rPr>
                <w:b/>
                <w:lang w:val="en-GB"/>
              </w:rPr>
            </w:pPr>
            <w:r>
              <w:rPr>
                <w:b/>
                <w:lang w:val="en-GB"/>
              </w:rPr>
              <w:t>$’000</w:t>
            </w:r>
          </w:p>
        </w:tc>
        <w:tc>
          <w:tcPr>
            <w:tcW w:w="1417" w:type="dxa"/>
            <w:vAlign w:val="center"/>
          </w:tcPr>
          <w:p w:rsidR="00B83890" w:rsidRDefault="00B83890" w:rsidP="006E6DC8">
            <w:pPr>
              <w:jc w:val="right"/>
              <w:rPr>
                <w:b/>
                <w:lang w:val="en-GB"/>
              </w:rPr>
            </w:pPr>
            <w:r>
              <w:rPr>
                <w:b/>
                <w:lang w:val="en-GB"/>
              </w:rPr>
              <w:t>$’000</w:t>
            </w:r>
          </w:p>
        </w:tc>
      </w:tr>
      <w:tr w:rsidR="00B83890" w:rsidRPr="0053729E" w:rsidTr="006E6DC8">
        <w:trPr>
          <w:cantSplit/>
          <w:trHeight w:val="255"/>
        </w:trPr>
        <w:tc>
          <w:tcPr>
            <w:tcW w:w="5984" w:type="dxa"/>
            <w:vAlign w:val="center"/>
          </w:tcPr>
          <w:p w:rsidR="00B83890" w:rsidRPr="0053729E" w:rsidRDefault="00B83890" w:rsidP="006E6DC8">
            <w:pPr>
              <w:pStyle w:val="Heading5"/>
              <w:rPr>
                <w:lang w:val="en-GB"/>
              </w:rPr>
            </w:pPr>
            <w:r w:rsidRPr="0053729E">
              <w:t>Operating Lease Commitments</w:t>
            </w:r>
          </w:p>
        </w:tc>
        <w:tc>
          <w:tcPr>
            <w:tcW w:w="1984" w:type="dxa"/>
            <w:vAlign w:val="center"/>
          </w:tcPr>
          <w:p w:rsidR="00B83890" w:rsidRPr="0053729E" w:rsidRDefault="00B83890" w:rsidP="006E6DC8">
            <w:pPr>
              <w:jc w:val="right"/>
              <w:rPr>
                <w:lang w:val="en-GB"/>
              </w:rPr>
            </w:pPr>
          </w:p>
        </w:tc>
        <w:tc>
          <w:tcPr>
            <w:tcW w:w="1417" w:type="dxa"/>
            <w:vAlign w:val="center"/>
          </w:tcPr>
          <w:p w:rsidR="00B83890" w:rsidRPr="0053729E" w:rsidRDefault="00B83890" w:rsidP="006E6DC8">
            <w:pPr>
              <w:jc w:val="right"/>
              <w:rPr>
                <w:lang w:val="en-GB"/>
              </w:rPr>
            </w:pPr>
          </w:p>
        </w:tc>
      </w:tr>
      <w:tr w:rsidR="00B83890" w:rsidRPr="0053729E" w:rsidTr="006E6DC8">
        <w:trPr>
          <w:cantSplit/>
          <w:trHeight w:val="255"/>
        </w:trPr>
        <w:tc>
          <w:tcPr>
            <w:tcW w:w="5984" w:type="dxa"/>
            <w:vAlign w:val="center"/>
          </w:tcPr>
          <w:p w:rsidR="00B83890" w:rsidRPr="0053729E" w:rsidRDefault="00B83890" w:rsidP="006E6DC8">
            <w:pPr>
              <w:pStyle w:val="NormalIndent"/>
              <w:ind w:left="720"/>
              <w:rPr>
                <w:sz w:val="20"/>
              </w:rPr>
            </w:pPr>
            <w:r w:rsidRPr="0053729E">
              <w:rPr>
                <w:sz w:val="20"/>
              </w:rPr>
              <w:t>Non-cancellable operating leases contracted for</w:t>
            </w:r>
          </w:p>
          <w:p w:rsidR="00B83890" w:rsidRPr="0053729E" w:rsidRDefault="00B83890" w:rsidP="006E6DC8">
            <w:pPr>
              <w:pStyle w:val="NormalIndent"/>
              <w:ind w:left="720"/>
              <w:rPr>
                <w:sz w:val="20"/>
              </w:rPr>
            </w:pPr>
            <w:r w:rsidRPr="0053729E">
              <w:rPr>
                <w:sz w:val="20"/>
              </w:rPr>
              <w:t>but not capitalised in the accounts</w:t>
            </w:r>
          </w:p>
        </w:tc>
        <w:tc>
          <w:tcPr>
            <w:tcW w:w="1984" w:type="dxa"/>
            <w:vAlign w:val="center"/>
          </w:tcPr>
          <w:p w:rsidR="00B83890" w:rsidRPr="0053729E" w:rsidRDefault="00B83890" w:rsidP="006E6DC8">
            <w:pPr>
              <w:jc w:val="right"/>
              <w:rPr>
                <w:lang w:val="en-GB"/>
              </w:rPr>
            </w:pPr>
          </w:p>
        </w:tc>
        <w:tc>
          <w:tcPr>
            <w:tcW w:w="1417" w:type="dxa"/>
            <w:vAlign w:val="center"/>
          </w:tcPr>
          <w:p w:rsidR="00B83890" w:rsidRPr="0053729E" w:rsidRDefault="00B83890" w:rsidP="006E6DC8">
            <w:pPr>
              <w:jc w:val="right"/>
              <w:rPr>
                <w:lang w:val="en-GB"/>
              </w:rPr>
            </w:pPr>
          </w:p>
        </w:tc>
      </w:tr>
      <w:tr w:rsidR="00B83890" w:rsidRPr="0053729E" w:rsidTr="006E6DC8">
        <w:trPr>
          <w:cantSplit/>
          <w:trHeight w:val="255"/>
        </w:trPr>
        <w:tc>
          <w:tcPr>
            <w:tcW w:w="5984" w:type="dxa"/>
            <w:vAlign w:val="center"/>
          </w:tcPr>
          <w:p w:rsidR="00B83890" w:rsidRPr="0053729E" w:rsidRDefault="00B83890" w:rsidP="006E6DC8">
            <w:pPr>
              <w:pStyle w:val="NormalIndent"/>
              <w:ind w:left="720"/>
              <w:rPr>
                <w:sz w:val="20"/>
              </w:rPr>
            </w:pPr>
            <w:r w:rsidRPr="0053729E">
              <w:rPr>
                <w:sz w:val="20"/>
              </w:rPr>
              <w:t>Payable:</w:t>
            </w:r>
          </w:p>
        </w:tc>
        <w:tc>
          <w:tcPr>
            <w:tcW w:w="1984" w:type="dxa"/>
            <w:vAlign w:val="center"/>
          </w:tcPr>
          <w:p w:rsidR="00B83890" w:rsidRPr="0053729E" w:rsidRDefault="00B83890" w:rsidP="006E6DC8">
            <w:pPr>
              <w:jc w:val="right"/>
              <w:rPr>
                <w:lang w:val="en-GB"/>
              </w:rPr>
            </w:pPr>
          </w:p>
        </w:tc>
        <w:tc>
          <w:tcPr>
            <w:tcW w:w="1417" w:type="dxa"/>
            <w:vAlign w:val="center"/>
          </w:tcPr>
          <w:p w:rsidR="00B83890" w:rsidRPr="0053729E" w:rsidRDefault="00B83890" w:rsidP="006E6DC8">
            <w:pPr>
              <w:jc w:val="right"/>
              <w:rPr>
                <w:lang w:val="en-GB"/>
              </w:rPr>
            </w:pPr>
          </w:p>
        </w:tc>
      </w:tr>
      <w:tr w:rsidR="00B83890" w:rsidRPr="0053729E" w:rsidTr="006E6DC8">
        <w:trPr>
          <w:cantSplit/>
          <w:trHeight w:val="255"/>
        </w:trPr>
        <w:tc>
          <w:tcPr>
            <w:tcW w:w="5984" w:type="dxa"/>
            <w:vAlign w:val="center"/>
          </w:tcPr>
          <w:p w:rsidR="00B83890" w:rsidRPr="0053729E" w:rsidRDefault="00B83890" w:rsidP="006E6DC8">
            <w:pPr>
              <w:ind w:left="720"/>
              <w:rPr>
                <w:lang w:val="en-GB"/>
              </w:rPr>
            </w:pPr>
            <w:r w:rsidRPr="0053729E">
              <w:t>not longer than 1 year</w:t>
            </w:r>
          </w:p>
        </w:tc>
        <w:tc>
          <w:tcPr>
            <w:tcW w:w="1984" w:type="dxa"/>
            <w:shd w:val="clear" w:color="auto" w:fill="auto"/>
            <w:vAlign w:val="center"/>
          </w:tcPr>
          <w:p w:rsidR="00B83890" w:rsidRPr="0053729E" w:rsidRDefault="00B83890" w:rsidP="006E6DC8">
            <w:pPr>
              <w:jc w:val="right"/>
              <w:rPr>
                <w:lang w:val="en-GB"/>
              </w:rPr>
            </w:pPr>
            <w:r w:rsidRPr="0053729E">
              <w:rPr>
                <w:lang w:val="en-GB"/>
              </w:rPr>
              <w:t>349</w:t>
            </w:r>
          </w:p>
        </w:tc>
        <w:tc>
          <w:tcPr>
            <w:tcW w:w="1417" w:type="dxa"/>
            <w:vAlign w:val="center"/>
          </w:tcPr>
          <w:p w:rsidR="00B83890" w:rsidRPr="0053729E" w:rsidRDefault="00B83890" w:rsidP="006E6DC8">
            <w:pPr>
              <w:jc w:val="right"/>
              <w:rPr>
                <w:lang w:val="en-GB"/>
              </w:rPr>
            </w:pPr>
            <w:r w:rsidRPr="0053729E">
              <w:rPr>
                <w:lang w:val="en-GB"/>
              </w:rPr>
              <w:t>565</w:t>
            </w:r>
          </w:p>
        </w:tc>
      </w:tr>
      <w:tr w:rsidR="00B83890" w:rsidRPr="0053729E" w:rsidTr="006E6DC8">
        <w:trPr>
          <w:cantSplit/>
          <w:trHeight w:val="255"/>
        </w:trPr>
        <w:tc>
          <w:tcPr>
            <w:tcW w:w="5984" w:type="dxa"/>
            <w:vAlign w:val="center"/>
          </w:tcPr>
          <w:p w:rsidR="00B83890" w:rsidRPr="0053729E" w:rsidRDefault="00B83890" w:rsidP="006E6DC8">
            <w:pPr>
              <w:ind w:left="720"/>
              <w:rPr>
                <w:lang w:val="en-GB"/>
              </w:rPr>
            </w:pPr>
            <w:r w:rsidRPr="0053729E">
              <w:t>longer than 1 year but not longer than 5 years</w:t>
            </w:r>
          </w:p>
        </w:tc>
        <w:tc>
          <w:tcPr>
            <w:tcW w:w="1984" w:type="dxa"/>
            <w:vAlign w:val="center"/>
          </w:tcPr>
          <w:p w:rsidR="00B83890" w:rsidRPr="0053729E" w:rsidRDefault="00B83890" w:rsidP="006E6DC8">
            <w:pPr>
              <w:jc w:val="right"/>
              <w:rPr>
                <w:lang w:val="en-GB"/>
              </w:rPr>
            </w:pPr>
            <w:r w:rsidRPr="0053729E">
              <w:rPr>
                <w:lang w:val="en-GB"/>
              </w:rPr>
              <w:t>585</w:t>
            </w:r>
          </w:p>
        </w:tc>
        <w:tc>
          <w:tcPr>
            <w:tcW w:w="1417" w:type="dxa"/>
            <w:vAlign w:val="center"/>
          </w:tcPr>
          <w:p w:rsidR="00B83890" w:rsidRPr="0053729E" w:rsidRDefault="00B83890" w:rsidP="006E6DC8">
            <w:pPr>
              <w:jc w:val="right"/>
              <w:rPr>
                <w:lang w:val="en-GB"/>
              </w:rPr>
            </w:pPr>
            <w:r w:rsidRPr="0053729E">
              <w:rPr>
                <w:lang w:val="en-GB"/>
              </w:rPr>
              <w:t>328</w:t>
            </w:r>
          </w:p>
        </w:tc>
      </w:tr>
      <w:tr w:rsidR="00B83890" w:rsidRPr="0053729E" w:rsidTr="006E6DC8">
        <w:trPr>
          <w:cantSplit/>
          <w:trHeight w:val="206"/>
        </w:trPr>
        <w:tc>
          <w:tcPr>
            <w:tcW w:w="5984" w:type="dxa"/>
            <w:tcBorders>
              <w:top w:val="single" w:sz="4" w:space="0" w:color="auto"/>
              <w:bottom w:val="double" w:sz="6" w:space="0" w:color="000000"/>
            </w:tcBorders>
          </w:tcPr>
          <w:p w:rsidR="00B83890" w:rsidRPr="0053729E" w:rsidRDefault="00B83890" w:rsidP="006E6DC8">
            <w:pPr>
              <w:rPr>
                <w:b/>
                <w:lang w:val="en-GB"/>
              </w:rPr>
            </w:pPr>
            <w:r w:rsidRPr="0053729E">
              <w:rPr>
                <w:b/>
              </w:rPr>
              <w:t>TOTAL</w:t>
            </w:r>
          </w:p>
        </w:tc>
        <w:tc>
          <w:tcPr>
            <w:tcW w:w="1984" w:type="dxa"/>
            <w:tcBorders>
              <w:top w:val="single" w:sz="4" w:space="0" w:color="auto"/>
              <w:bottom w:val="double" w:sz="6" w:space="0" w:color="000000"/>
            </w:tcBorders>
          </w:tcPr>
          <w:p w:rsidR="00B83890" w:rsidRPr="0053729E" w:rsidRDefault="00B83890" w:rsidP="006E6DC8">
            <w:pPr>
              <w:jc w:val="right"/>
              <w:rPr>
                <w:b/>
                <w:lang w:val="en-GB"/>
              </w:rPr>
            </w:pPr>
            <w:r w:rsidRPr="0053729E">
              <w:rPr>
                <w:b/>
                <w:lang w:val="en-GB"/>
              </w:rPr>
              <w:t>934</w:t>
            </w:r>
          </w:p>
        </w:tc>
        <w:tc>
          <w:tcPr>
            <w:tcW w:w="1417" w:type="dxa"/>
            <w:tcBorders>
              <w:top w:val="single" w:sz="4" w:space="0" w:color="auto"/>
              <w:bottom w:val="double" w:sz="6" w:space="0" w:color="000000"/>
            </w:tcBorders>
          </w:tcPr>
          <w:p w:rsidR="00B83890" w:rsidRPr="0053729E" w:rsidRDefault="00B83890" w:rsidP="006E6DC8">
            <w:pPr>
              <w:jc w:val="right"/>
              <w:rPr>
                <w:b/>
                <w:lang w:val="en-GB"/>
              </w:rPr>
            </w:pPr>
            <w:r w:rsidRPr="0053729E">
              <w:rPr>
                <w:b/>
                <w:lang w:val="en-GB"/>
              </w:rPr>
              <w:t>893</w:t>
            </w:r>
          </w:p>
        </w:tc>
      </w:tr>
    </w:tbl>
    <w:p w:rsidR="00B83890" w:rsidRPr="0053729E" w:rsidRDefault="00B83890" w:rsidP="00B83890"/>
    <w:tbl>
      <w:tblPr>
        <w:tblW w:w="9385" w:type="dxa"/>
        <w:tblLayout w:type="fixed"/>
        <w:tblCellMar>
          <w:left w:w="30" w:type="dxa"/>
          <w:right w:w="30" w:type="dxa"/>
        </w:tblCellMar>
        <w:tblLook w:val="0000" w:firstRow="0" w:lastRow="0" w:firstColumn="0" w:lastColumn="0" w:noHBand="0" w:noVBand="0"/>
        <w:tblCaption w:val="Lease and Commitments for Expenditure: Finance Leases"/>
        <w:tblDescription w:val="This table shows Finance Leases for 2012–13 with comparison to 2011–12."/>
      </w:tblPr>
      <w:tblGrid>
        <w:gridCol w:w="5984"/>
        <w:gridCol w:w="1984"/>
        <w:gridCol w:w="1417"/>
      </w:tblGrid>
      <w:tr w:rsidR="00B83890" w:rsidRPr="0053729E" w:rsidTr="006E6DC8">
        <w:trPr>
          <w:cantSplit/>
          <w:trHeight w:val="255"/>
        </w:trPr>
        <w:tc>
          <w:tcPr>
            <w:tcW w:w="5984" w:type="dxa"/>
            <w:vAlign w:val="center"/>
          </w:tcPr>
          <w:p w:rsidR="00B83890" w:rsidRPr="0053729E" w:rsidRDefault="00B83890" w:rsidP="006E6DC8">
            <w:pPr>
              <w:pStyle w:val="Heading5"/>
              <w:spacing w:before="0"/>
              <w:rPr>
                <w:lang w:val="en-GB"/>
              </w:rPr>
            </w:pPr>
            <w:r w:rsidRPr="0053729E">
              <w:t xml:space="preserve">Finance Leases </w:t>
            </w:r>
          </w:p>
        </w:tc>
        <w:tc>
          <w:tcPr>
            <w:tcW w:w="1984" w:type="dxa"/>
            <w:vAlign w:val="center"/>
          </w:tcPr>
          <w:p w:rsidR="00B83890" w:rsidRPr="0053729E" w:rsidRDefault="00B83890" w:rsidP="006E6DC8">
            <w:pPr>
              <w:jc w:val="right"/>
              <w:rPr>
                <w:lang w:val="en-GB"/>
              </w:rPr>
            </w:pPr>
          </w:p>
        </w:tc>
        <w:tc>
          <w:tcPr>
            <w:tcW w:w="1417" w:type="dxa"/>
            <w:vAlign w:val="center"/>
          </w:tcPr>
          <w:p w:rsidR="00B83890" w:rsidRPr="0053729E" w:rsidRDefault="00B83890" w:rsidP="006E6DC8">
            <w:pPr>
              <w:jc w:val="right"/>
              <w:rPr>
                <w:lang w:val="en-GB"/>
              </w:rPr>
            </w:pPr>
          </w:p>
        </w:tc>
      </w:tr>
      <w:tr w:rsidR="00B83890" w:rsidRPr="0053729E" w:rsidTr="006E6DC8">
        <w:trPr>
          <w:cantSplit/>
          <w:trHeight w:val="255"/>
        </w:trPr>
        <w:tc>
          <w:tcPr>
            <w:tcW w:w="5984" w:type="dxa"/>
            <w:vAlign w:val="center"/>
          </w:tcPr>
          <w:p w:rsidR="00B83890" w:rsidRPr="0053729E" w:rsidRDefault="00B83890" w:rsidP="006E6DC8">
            <w:pPr>
              <w:pStyle w:val="Heading5"/>
              <w:spacing w:before="0"/>
              <w:rPr>
                <w:b w:val="0"/>
              </w:rPr>
            </w:pPr>
            <w:r w:rsidRPr="0053729E">
              <w:t>Finance leases are payable as follows:</w:t>
            </w:r>
          </w:p>
        </w:tc>
        <w:tc>
          <w:tcPr>
            <w:tcW w:w="1984" w:type="dxa"/>
            <w:vAlign w:val="center"/>
          </w:tcPr>
          <w:p w:rsidR="00B83890" w:rsidRPr="0053729E" w:rsidRDefault="00B83890" w:rsidP="006E6DC8">
            <w:pPr>
              <w:jc w:val="right"/>
              <w:rPr>
                <w:lang w:val="en-GB"/>
              </w:rPr>
            </w:pPr>
          </w:p>
        </w:tc>
        <w:tc>
          <w:tcPr>
            <w:tcW w:w="1417" w:type="dxa"/>
            <w:vAlign w:val="center"/>
          </w:tcPr>
          <w:p w:rsidR="00B83890" w:rsidRPr="0053729E" w:rsidRDefault="00B83890" w:rsidP="006E6DC8">
            <w:pPr>
              <w:jc w:val="right"/>
              <w:rPr>
                <w:lang w:val="en-GB"/>
              </w:rPr>
            </w:pPr>
          </w:p>
        </w:tc>
      </w:tr>
      <w:tr w:rsidR="00B83890" w:rsidRPr="0053729E" w:rsidTr="006E6DC8">
        <w:trPr>
          <w:cantSplit/>
          <w:trHeight w:val="255"/>
        </w:trPr>
        <w:tc>
          <w:tcPr>
            <w:tcW w:w="5984" w:type="dxa"/>
            <w:vAlign w:val="center"/>
          </w:tcPr>
          <w:p w:rsidR="00B83890" w:rsidRPr="0053729E" w:rsidRDefault="00B83890" w:rsidP="00222E60">
            <w:pPr>
              <w:pStyle w:val="Heading5"/>
              <w:spacing w:before="0"/>
              <w:ind w:left="851"/>
              <w:rPr>
                <w:b w:val="0"/>
              </w:rPr>
            </w:pPr>
            <w:r w:rsidRPr="0053729E">
              <w:t>within 1 year</w:t>
            </w:r>
          </w:p>
        </w:tc>
        <w:tc>
          <w:tcPr>
            <w:tcW w:w="1984" w:type="dxa"/>
            <w:vAlign w:val="center"/>
          </w:tcPr>
          <w:p w:rsidR="00B83890" w:rsidRPr="0053729E" w:rsidRDefault="00B83890" w:rsidP="006E6DC8">
            <w:pPr>
              <w:jc w:val="right"/>
              <w:rPr>
                <w:lang w:val="en-GB"/>
              </w:rPr>
            </w:pPr>
            <w:r w:rsidRPr="0053729E">
              <w:rPr>
                <w:lang w:val="en-GB"/>
              </w:rPr>
              <w:t>148</w:t>
            </w:r>
          </w:p>
        </w:tc>
        <w:tc>
          <w:tcPr>
            <w:tcW w:w="1417" w:type="dxa"/>
            <w:vAlign w:val="center"/>
          </w:tcPr>
          <w:p w:rsidR="00B83890" w:rsidRPr="0053729E" w:rsidRDefault="00B83890" w:rsidP="006E6DC8">
            <w:pPr>
              <w:jc w:val="right"/>
              <w:rPr>
                <w:lang w:val="en-GB"/>
              </w:rPr>
            </w:pPr>
            <w:r w:rsidRPr="0053729E">
              <w:rPr>
                <w:lang w:val="en-GB"/>
              </w:rPr>
              <w:t>212</w:t>
            </w:r>
          </w:p>
        </w:tc>
      </w:tr>
      <w:tr w:rsidR="00B83890" w:rsidRPr="0053729E" w:rsidTr="006E6DC8">
        <w:trPr>
          <w:cantSplit/>
          <w:trHeight w:val="255"/>
        </w:trPr>
        <w:tc>
          <w:tcPr>
            <w:tcW w:w="5984" w:type="dxa"/>
            <w:tcBorders>
              <w:bottom w:val="single" w:sz="4" w:space="0" w:color="auto"/>
            </w:tcBorders>
            <w:vAlign w:val="center"/>
          </w:tcPr>
          <w:p w:rsidR="00B83890" w:rsidRPr="0053729E" w:rsidRDefault="00222E60" w:rsidP="00222E60">
            <w:pPr>
              <w:pStyle w:val="Heading5"/>
              <w:spacing w:before="0"/>
              <w:ind w:left="851"/>
              <w:rPr>
                <w:b w:val="0"/>
              </w:rPr>
            </w:pPr>
            <w:r>
              <w:t>l</w:t>
            </w:r>
            <w:r w:rsidR="00B83890" w:rsidRPr="0053729E">
              <w:t>onger than 1 year but not longer than 5 years</w:t>
            </w:r>
          </w:p>
        </w:tc>
        <w:tc>
          <w:tcPr>
            <w:tcW w:w="1984" w:type="dxa"/>
            <w:tcBorders>
              <w:bottom w:val="single" w:sz="4" w:space="0" w:color="auto"/>
            </w:tcBorders>
            <w:vAlign w:val="center"/>
          </w:tcPr>
          <w:p w:rsidR="00B83890" w:rsidRPr="0053729E" w:rsidRDefault="00B83890" w:rsidP="006E6DC8">
            <w:pPr>
              <w:jc w:val="right"/>
              <w:rPr>
                <w:lang w:val="en-GB"/>
              </w:rPr>
            </w:pPr>
            <w:r w:rsidRPr="0053729E">
              <w:rPr>
                <w:lang w:val="en-GB"/>
              </w:rPr>
              <w:t>166</w:t>
            </w:r>
          </w:p>
        </w:tc>
        <w:tc>
          <w:tcPr>
            <w:tcW w:w="1417" w:type="dxa"/>
            <w:tcBorders>
              <w:bottom w:val="single" w:sz="4" w:space="0" w:color="auto"/>
            </w:tcBorders>
            <w:vAlign w:val="center"/>
          </w:tcPr>
          <w:p w:rsidR="00B83890" w:rsidRPr="0053729E" w:rsidRDefault="00B83890" w:rsidP="006E6DC8">
            <w:pPr>
              <w:jc w:val="right"/>
              <w:rPr>
                <w:lang w:val="en-GB"/>
              </w:rPr>
            </w:pPr>
            <w:r w:rsidRPr="0053729E">
              <w:rPr>
                <w:lang w:val="en-GB"/>
              </w:rPr>
              <w:t>140</w:t>
            </w:r>
          </w:p>
        </w:tc>
      </w:tr>
      <w:tr w:rsidR="00B83890" w:rsidRPr="004406EB" w:rsidTr="006E6DC8">
        <w:trPr>
          <w:cantSplit/>
          <w:trHeight w:val="255"/>
        </w:trPr>
        <w:tc>
          <w:tcPr>
            <w:tcW w:w="5984" w:type="dxa"/>
            <w:tcBorders>
              <w:top w:val="single" w:sz="4" w:space="0" w:color="auto"/>
            </w:tcBorders>
            <w:vAlign w:val="center"/>
          </w:tcPr>
          <w:p w:rsidR="00B83890" w:rsidRPr="004406EB" w:rsidRDefault="00B83890" w:rsidP="009C0D27">
            <w:pPr>
              <w:ind w:left="851"/>
              <w:rPr>
                <w:color w:val="000000"/>
                <w:lang w:val="en-GB"/>
              </w:rPr>
            </w:pPr>
            <w:r w:rsidRPr="004406EB">
              <w:t>Minimum lease payments</w:t>
            </w:r>
          </w:p>
        </w:tc>
        <w:tc>
          <w:tcPr>
            <w:tcW w:w="1984" w:type="dxa"/>
            <w:tcBorders>
              <w:top w:val="single" w:sz="4" w:space="0" w:color="auto"/>
            </w:tcBorders>
            <w:vAlign w:val="center"/>
          </w:tcPr>
          <w:p w:rsidR="00B83890" w:rsidRPr="004406EB" w:rsidRDefault="00B83890" w:rsidP="006E6DC8">
            <w:pPr>
              <w:jc w:val="right"/>
              <w:rPr>
                <w:color w:val="000000"/>
                <w:lang w:val="en-GB"/>
              </w:rPr>
            </w:pPr>
            <w:r>
              <w:rPr>
                <w:color w:val="000000"/>
                <w:lang w:val="en-GB"/>
              </w:rPr>
              <w:t>314</w:t>
            </w:r>
          </w:p>
        </w:tc>
        <w:tc>
          <w:tcPr>
            <w:tcW w:w="1417" w:type="dxa"/>
            <w:tcBorders>
              <w:top w:val="single" w:sz="4" w:space="0" w:color="auto"/>
            </w:tcBorders>
            <w:vAlign w:val="center"/>
          </w:tcPr>
          <w:p w:rsidR="00B83890" w:rsidRPr="004406EB" w:rsidRDefault="00B83890" w:rsidP="006E6DC8">
            <w:pPr>
              <w:jc w:val="right"/>
              <w:rPr>
                <w:color w:val="000000"/>
                <w:lang w:val="en-GB"/>
              </w:rPr>
            </w:pPr>
            <w:r w:rsidRPr="004406EB">
              <w:rPr>
                <w:color w:val="000000"/>
                <w:lang w:val="en-GB"/>
              </w:rPr>
              <w:t>35</w:t>
            </w:r>
            <w:r>
              <w:rPr>
                <w:color w:val="000000"/>
                <w:lang w:val="en-GB"/>
              </w:rPr>
              <w:t>2</w:t>
            </w:r>
          </w:p>
        </w:tc>
      </w:tr>
      <w:tr w:rsidR="00B83890" w:rsidRPr="004406EB" w:rsidTr="006E6DC8">
        <w:trPr>
          <w:cantSplit/>
          <w:trHeight w:val="255"/>
        </w:trPr>
        <w:tc>
          <w:tcPr>
            <w:tcW w:w="5984" w:type="dxa"/>
            <w:tcBorders>
              <w:bottom w:val="single" w:sz="4" w:space="0" w:color="auto"/>
            </w:tcBorders>
            <w:vAlign w:val="center"/>
          </w:tcPr>
          <w:p w:rsidR="00B83890" w:rsidRPr="004406EB" w:rsidRDefault="00B83890" w:rsidP="009C0D27">
            <w:pPr>
              <w:pStyle w:val="NormalIndent"/>
              <w:ind w:left="851" w:firstLine="0"/>
              <w:rPr>
                <w:sz w:val="20"/>
              </w:rPr>
            </w:pPr>
            <w:r w:rsidRPr="004406EB">
              <w:rPr>
                <w:sz w:val="20"/>
              </w:rPr>
              <w:t>Less future finance charges</w:t>
            </w:r>
          </w:p>
        </w:tc>
        <w:tc>
          <w:tcPr>
            <w:tcW w:w="1984" w:type="dxa"/>
            <w:tcBorders>
              <w:bottom w:val="single" w:sz="4" w:space="0" w:color="auto"/>
            </w:tcBorders>
            <w:vAlign w:val="center"/>
          </w:tcPr>
          <w:p w:rsidR="00B83890" w:rsidRPr="004406EB" w:rsidRDefault="00B83890" w:rsidP="006E6DC8">
            <w:pPr>
              <w:jc w:val="right"/>
              <w:rPr>
                <w:color w:val="000000"/>
                <w:lang w:val="en-GB"/>
              </w:rPr>
            </w:pPr>
            <w:r>
              <w:rPr>
                <w:color w:val="000000"/>
                <w:lang w:val="en-GB"/>
              </w:rPr>
              <w:t>25</w:t>
            </w:r>
          </w:p>
        </w:tc>
        <w:tc>
          <w:tcPr>
            <w:tcW w:w="1417" w:type="dxa"/>
            <w:tcBorders>
              <w:bottom w:val="single" w:sz="4" w:space="0" w:color="auto"/>
            </w:tcBorders>
            <w:vAlign w:val="center"/>
          </w:tcPr>
          <w:p w:rsidR="00B83890" w:rsidRPr="004406EB" w:rsidRDefault="00B83890" w:rsidP="006E6DC8">
            <w:pPr>
              <w:jc w:val="right"/>
              <w:rPr>
                <w:color w:val="000000"/>
                <w:lang w:val="en-GB"/>
              </w:rPr>
            </w:pPr>
            <w:r w:rsidRPr="004406EB">
              <w:rPr>
                <w:color w:val="000000"/>
                <w:lang w:val="en-GB"/>
              </w:rPr>
              <w:t>20</w:t>
            </w:r>
          </w:p>
        </w:tc>
      </w:tr>
      <w:tr w:rsidR="00B83890" w:rsidRPr="004406EB" w:rsidTr="006E6DC8">
        <w:trPr>
          <w:cantSplit/>
          <w:trHeight w:val="255"/>
        </w:trPr>
        <w:tc>
          <w:tcPr>
            <w:tcW w:w="5984" w:type="dxa"/>
            <w:tcBorders>
              <w:top w:val="single" w:sz="4" w:space="0" w:color="auto"/>
              <w:bottom w:val="single" w:sz="4" w:space="0" w:color="auto"/>
            </w:tcBorders>
            <w:vAlign w:val="center"/>
          </w:tcPr>
          <w:p w:rsidR="00B83890" w:rsidRPr="004406EB" w:rsidRDefault="00B83890" w:rsidP="006E6DC8">
            <w:pPr>
              <w:rPr>
                <w:color w:val="000000"/>
                <w:lang w:val="en-GB"/>
              </w:rPr>
            </w:pPr>
            <w:r w:rsidRPr="004406EB">
              <w:rPr>
                <w:color w:val="000000"/>
                <w:lang w:val="en-GB"/>
              </w:rPr>
              <w:t>Present value of minimum lease payments</w:t>
            </w:r>
          </w:p>
        </w:tc>
        <w:tc>
          <w:tcPr>
            <w:tcW w:w="1984" w:type="dxa"/>
            <w:tcBorders>
              <w:top w:val="single" w:sz="4" w:space="0" w:color="auto"/>
              <w:bottom w:val="single" w:sz="4" w:space="0" w:color="auto"/>
            </w:tcBorders>
            <w:vAlign w:val="center"/>
          </w:tcPr>
          <w:p w:rsidR="00B83890" w:rsidRPr="004406EB" w:rsidRDefault="00B83890" w:rsidP="006E6DC8">
            <w:pPr>
              <w:jc w:val="right"/>
              <w:rPr>
                <w:b/>
                <w:color w:val="000000"/>
                <w:lang w:val="en-GB"/>
              </w:rPr>
            </w:pPr>
            <w:r>
              <w:rPr>
                <w:b/>
                <w:color w:val="000000"/>
                <w:lang w:val="en-GB"/>
              </w:rPr>
              <w:t>289</w:t>
            </w:r>
          </w:p>
        </w:tc>
        <w:tc>
          <w:tcPr>
            <w:tcW w:w="1417" w:type="dxa"/>
            <w:tcBorders>
              <w:top w:val="single" w:sz="4" w:space="0" w:color="auto"/>
              <w:bottom w:val="single" w:sz="4" w:space="0" w:color="auto"/>
            </w:tcBorders>
            <w:vAlign w:val="center"/>
          </w:tcPr>
          <w:p w:rsidR="00B83890" w:rsidRPr="004406EB" w:rsidRDefault="00B83890" w:rsidP="006E6DC8">
            <w:pPr>
              <w:jc w:val="right"/>
              <w:rPr>
                <w:b/>
                <w:color w:val="000000"/>
                <w:lang w:val="en-GB"/>
              </w:rPr>
            </w:pPr>
            <w:r w:rsidRPr="004406EB">
              <w:rPr>
                <w:b/>
                <w:color w:val="000000"/>
                <w:lang w:val="en-GB"/>
              </w:rPr>
              <w:t>33</w:t>
            </w:r>
            <w:r>
              <w:rPr>
                <w:b/>
                <w:color w:val="000000"/>
                <w:lang w:val="en-GB"/>
              </w:rPr>
              <w:t>2</w:t>
            </w:r>
          </w:p>
        </w:tc>
      </w:tr>
      <w:tr w:rsidR="00B83890" w:rsidRPr="004406EB" w:rsidTr="006E6DC8">
        <w:trPr>
          <w:cantSplit/>
          <w:trHeight w:val="255"/>
        </w:trPr>
        <w:tc>
          <w:tcPr>
            <w:tcW w:w="5984" w:type="dxa"/>
            <w:tcBorders>
              <w:top w:val="single" w:sz="4" w:space="0" w:color="auto"/>
            </w:tcBorders>
            <w:vAlign w:val="center"/>
          </w:tcPr>
          <w:p w:rsidR="00B83890" w:rsidRPr="004406EB" w:rsidRDefault="00B83890" w:rsidP="009C0D27">
            <w:pPr>
              <w:ind w:left="851"/>
              <w:rPr>
                <w:color w:val="000000"/>
                <w:lang w:val="en-GB"/>
              </w:rPr>
            </w:pPr>
            <w:r w:rsidRPr="004406EB">
              <w:rPr>
                <w:color w:val="000000"/>
                <w:lang w:val="en-GB"/>
              </w:rPr>
              <w:t>Representing lease liabilities:</w:t>
            </w:r>
          </w:p>
        </w:tc>
        <w:tc>
          <w:tcPr>
            <w:tcW w:w="1984" w:type="dxa"/>
            <w:tcBorders>
              <w:top w:val="single" w:sz="4" w:space="0" w:color="auto"/>
            </w:tcBorders>
            <w:vAlign w:val="center"/>
          </w:tcPr>
          <w:p w:rsidR="00B83890" w:rsidRPr="004406EB" w:rsidRDefault="00B83890" w:rsidP="006E6DC8">
            <w:pPr>
              <w:jc w:val="right"/>
              <w:rPr>
                <w:color w:val="000000"/>
                <w:lang w:val="en-GB"/>
              </w:rPr>
            </w:pPr>
          </w:p>
        </w:tc>
        <w:tc>
          <w:tcPr>
            <w:tcW w:w="1417" w:type="dxa"/>
            <w:tcBorders>
              <w:top w:val="single" w:sz="4" w:space="0" w:color="auto"/>
            </w:tcBorders>
            <w:vAlign w:val="center"/>
          </w:tcPr>
          <w:p w:rsidR="00B83890" w:rsidRPr="004406EB" w:rsidRDefault="00B83890" w:rsidP="006E6DC8">
            <w:pPr>
              <w:jc w:val="right"/>
              <w:rPr>
                <w:color w:val="000000"/>
                <w:lang w:val="en-GB"/>
              </w:rPr>
            </w:pPr>
          </w:p>
        </w:tc>
      </w:tr>
      <w:tr w:rsidR="00B83890" w:rsidRPr="004406EB" w:rsidTr="006E6DC8">
        <w:trPr>
          <w:cantSplit/>
          <w:trHeight w:val="255"/>
        </w:trPr>
        <w:tc>
          <w:tcPr>
            <w:tcW w:w="5984" w:type="dxa"/>
            <w:vAlign w:val="center"/>
          </w:tcPr>
          <w:p w:rsidR="00B83890" w:rsidRPr="004406EB" w:rsidRDefault="00B83890" w:rsidP="009C0D27">
            <w:pPr>
              <w:ind w:left="851"/>
              <w:rPr>
                <w:color w:val="000000"/>
                <w:lang w:val="en-GB"/>
              </w:rPr>
            </w:pPr>
            <w:r w:rsidRPr="004406EB">
              <w:rPr>
                <w:color w:val="000000"/>
                <w:lang w:val="en-GB"/>
              </w:rPr>
              <w:t>Current (Note 11(a))</w:t>
            </w:r>
          </w:p>
        </w:tc>
        <w:tc>
          <w:tcPr>
            <w:tcW w:w="1984" w:type="dxa"/>
            <w:vAlign w:val="center"/>
          </w:tcPr>
          <w:p w:rsidR="00B83890" w:rsidRPr="004406EB" w:rsidRDefault="00B83890" w:rsidP="006E6DC8">
            <w:pPr>
              <w:jc w:val="right"/>
              <w:rPr>
                <w:color w:val="000000"/>
                <w:lang w:val="en-GB"/>
              </w:rPr>
            </w:pPr>
            <w:r>
              <w:rPr>
                <w:color w:val="000000"/>
                <w:lang w:val="en-GB"/>
              </w:rPr>
              <w:t>133</w:t>
            </w:r>
          </w:p>
        </w:tc>
        <w:tc>
          <w:tcPr>
            <w:tcW w:w="1417" w:type="dxa"/>
            <w:vAlign w:val="center"/>
          </w:tcPr>
          <w:p w:rsidR="00B83890" w:rsidRPr="004406EB" w:rsidRDefault="00B83890" w:rsidP="006E6DC8">
            <w:pPr>
              <w:jc w:val="right"/>
              <w:rPr>
                <w:color w:val="000000"/>
                <w:lang w:val="en-GB"/>
              </w:rPr>
            </w:pPr>
            <w:r w:rsidRPr="004406EB">
              <w:rPr>
                <w:color w:val="000000"/>
                <w:lang w:val="en-GB"/>
              </w:rPr>
              <w:t>199</w:t>
            </w:r>
          </w:p>
        </w:tc>
      </w:tr>
      <w:tr w:rsidR="00B83890" w:rsidRPr="004406EB" w:rsidTr="006E6DC8">
        <w:trPr>
          <w:cantSplit/>
          <w:trHeight w:val="255"/>
        </w:trPr>
        <w:tc>
          <w:tcPr>
            <w:tcW w:w="5984" w:type="dxa"/>
            <w:vAlign w:val="center"/>
          </w:tcPr>
          <w:p w:rsidR="00B83890" w:rsidRPr="004406EB" w:rsidRDefault="00B83890" w:rsidP="009C0D27">
            <w:pPr>
              <w:ind w:left="851"/>
            </w:pPr>
            <w:r w:rsidRPr="004406EB">
              <w:t>Non–current (Note 11(b))</w:t>
            </w:r>
          </w:p>
        </w:tc>
        <w:tc>
          <w:tcPr>
            <w:tcW w:w="1984" w:type="dxa"/>
            <w:vAlign w:val="center"/>
          </w:tcPr>
          <w:p w:rsidR="00B83890" w:rsidRPr="004406EB" w:rsidRDefault="00B83890" w:rsidP="006E6DC8">
            <w:pPr>
              <w:jc w:val="right"/>
              <w:rPr>
                <w:color w:val="000000"/>
                <w:lang w:val="en-GB"/>
              </w:rPr>
            </w:pPr>
            <w:r>
              <w:rPr>
                <w:color w:val="000000"/>
                <w:lang w:val="en-GB"/>
              </w:rPr>
              <w:t>156</w:t>
            </w:r>
          </w:p>
        </w:tc>
        <w:tc>
          <w:tcPr>
            <w:tcW w:w="1417" w:type="dxa"/>
            <w:vAlign w:val="center"/>
          </w:tcPr>
          <w:p w:rsidR="00B83890" w:rsidRPr="004406EB" w:rsidRDefault="00B83890" w:rsidP="006E6DC8">
            <w:pPr>
              <w:jc w:val="right"/>
              <w:rPr>
                <w:color w:val="000000"/>
                <w:lang w:val="en-GB"/>
              </w:rPr>
            </w:pPr>
            <w:r w:rsidRPr="004406EB">
              <w:rPr>
                <w:color w:val="000000"/>
                <w:lang w:val="en-GB"/>
              </w:rPr>
              <w:t>13</w:t>
            </w:r>
            <w:r>
              <w:rPr>
                <w:color w:val="000000"/>
                <w:lang w:val="en-GB"/>
              </w:rPr>
              <w:t>3</w:t>
            </w:r>
          </w:p>
        </w:tc>
      </w:tr>
      <w:tr w:rsidR="00B83890" w:rsidTr="006E6DC8">
        <w:trPr>
          <w:cantSplit/>
          <w:trHeight w:val="206"/>
        </w:trPr>
        <w:tc>
          <w:tcPr>
            <w:tcW w:w="5984" w:type="dxa"/>
            <w:tcBorders>
              <w:top w:val="single" w:sz="4" w:space="0" w:color="auto"/>
              <w:bottom w:val="double" w:sz="6" w:space="0" w:color="000000"/>
            </w:tcBorders>
          </w:tcPr>
          <w:p w:rsidR="00B83890" w:rsidRPr="004406EB" w:rsidRDefault="00B83890" w:rsidP="006E6DC8">
            <w:pPr>
              <w:rPr>
                <w:b/>
                <w:color w:val="000000"/>
                <w:lang w:val="en-GB"/>
              </w:rPr>
            </w:pPr>
            <w:r w:rsidRPr="004406EB">
              <w:rPr>
                <w:b/>
              </w:rPr>
              <w:t>TOTAL</w:t>
            </w:r>
          </w:p>
        </w:tc>
        <w:tc>
          <w:tcPr>
            <w:tcW w:w="1984" w:type="dxa"/>
            <w:tcBorders>
              <w:top w:val="single" w:sz="4" w:space="0" w:color="auto"/>
              <w:bottom w:val="double" w:sz="6" w:space="0" w:color="000000"/>
            </w:tcBorders>
          </w:tcPr>
          <w:p w:rsidR="00B83890" w:rsidRPr="004406EB" w:rsidRDefault="00B83890" w:rsidP="006E6DC8">
            <w:pPr>
              <w:jc w:val="right"/>
              <w:rPr>
                <w:b/>
                <w:color w:val="000000"/>
                <w:lang w:val="en-GB"/>
              </w:rPr>
            </w:pPr>
            <w:r>
              <w:rPr>
                <w:b/>
                <w:color w:val="000000"/>
                <w:lang w:val="en-GB"/>
              </w:rPr>
              <w:t>289</w:t>
            </w:r>
          </w:p>
        </w:tc>
        <w:tc>
          <w:tcPr>
            <w:tcW w:w="1417" w:type="dxa"/>
            <w:tcBorders>
              <w:top w:val="single" w:sz="4" w:space="0" w:color="auto"/>
              <w:bottom w:val="double" w:sz="6" w:space="0" w:color="000000"/>
            </w:tcBorders>
          </w:tcPr>
          <w:p w:rsidR="00B83890" w:rsidRDefault="00B83890" w:rsidP="006E6DC8">
            <w:pPr>
              <w:jc w:val="right"/>
              <w:rPr>
                <w:b/>
                <w:color w:val="000000"/>
                <w:lang w:val="en-GB"/>
              </w:rPr>
            </w:pPr>
            <w:r w:rsidRPr="004406EB">
              <w:rPr>
                <w:b/>
                <w:color w:val="000000"/>
                <w:lang w:val="en-GB"/>
              </w:rPr>
              <w:t>33</w:t>
            </w:r>
            <w:r>
              <w:rPr>
                <w:b/>
                <w:color w:val="000000"/>
                <w:lang w:val="en-GB"/>
              </w:rPr>
              <w:t>2</w:t>
            </w:r>
          </w:p>
        </w:tc>
      </w:tr>
    </w:tbl>
    <w:p w:rsidR="00B83890" w:rsidRPr="00D65A63" w:rsidRDefault="00B83890" w:rsidP="00B83890"/>
    <w:p w:rsidR="00B83890" w:rsidRDefault="00B83890" w:rsidP="00B83890">
      <w:pPr>
        <w:keepNext w:val="0"/>
        <w:outlineLvl w:val="9"/>
        <w:rPr>
          <w:b/>
        </w:rPr>
      </w:pPr>
    </w:p>
    <w:p w:rsidR="00B83890" w:rsidRPr="00D605F7" w:rsidRDefault="00B83890" w:rsidP="00513943">
      <w:pPr>
        <w:pStyle w:val="Heading3"/>
        <w:rPr>
          <w:i/>
        </w:rPr>
      </w:pPr>
      <w:r>
        <w:t>19</w:t>
      </w:r>
      <w:r w:rsidRPr="00D605F7">
        <w:t>.</w:t>
      </w:r>
      <w:r w:rsidRPr="00D605F7">
        <w:tab/>
        <w:t>FINANCIAL INSTRUMENTS</w:t>
      </w:r>
    </w:p>
    <w:p w:rsidR="00B83890" w:rsidRPr="00415502" w:rsidRDefault="00B83890" w:rsidP="00B83890">
      <w:pPr>
        <w:rPr>
          <w:rFonts w:cs="Arial"/>
        </w:rPr>
      </w:pPr>
    </w:p>
    <w:p w:rsidR="00B83890" w:rsidRPr="0053729E" w:rsidRDefault="00B83890" w:rsidP="00C14C5D">
      <w:pPr>
        <w:pStyle w:val="Heading4"/>
        <w:numPr>
          <w:ilvl w:val="0"/>
          <w:numId w:val="32"/>
        </w:numPr>
        <w:ind w:hanging="720"/>
      </w:pPr>
      <w:r w:rsidRPr="0053729E">
        <w:t xml:space="preserve">Financial </w:t>
      </w:r>
      <w:r w:rsidR="00513943">
        <w:t xml:space="preserve">risk management objectives and </w:t>
      </w:r>
      <w:r w:rsidRPr="0053729E">
        <w:t>policies</w:t>
      </w:r>
    </w:p>
    <w:p w:rsidR="00B83890" w:rsidRDefault="00B83890" w:rsidP="00B83890">
      <w:pPr>
        <w:keepNext w:val="0"/>
        <w:ind w:left="567"/>
        <w:outlineLvl w:val="9"/>
        <w:rPr>
          <w:rFonts w:cs="Arial"/>
        </w:rPr>
      </w:pPr>
      <w:r w:rsidRPr="0053729E">
        <w:rPr>
          <w:rFonts w:cs="Arial"/>
        </w:rPr>
        <w:t>The significant accounting policies and methods adopted, including the criteria for recognition, the basis of measurement, and the basis on which income and expenses are recognised, with respect to each class of financial asset, financial liability and equity instrument are disclosed in Note 1 to the financial statements.</w:t>
      </w:r>
    </w:p>
    <w:p w:rsidR="00B83890" w:rsidRDefault="00B83890" w:rsidP="00B83890">
      <w:pPr>
        <w:keepNext w:val="0"/>
        <w:ind w:left="567"/>
        <w:outlineLvl w:val="9"/>
        <w:rPr>
          <w:rFonts w:cs="Arial"/>
        </w:rPr>
      </w:pPr>
    </w:p>
    <w:p w:rsidR="00513943" w:rsidRDefault="00B83890" w:rsidP="00513943">
      <w:pPr>
        <w:keepNext w:val="0"/>
        <w:ind w:left="567"/>
        <w:outlineLvl w:val="9"/>
        <w:rPr>
          <w:rFonts w:cs="Arial"/>
        </w:rPr>
      </w:pPr>
      <w:r>
        <w:rPr>
          <w:rFonts w:cs="Arial"/>
        </w:rPr>
        <w:t xml:space="preserve">The main purpose in holding financial instruments is to prudentially manage the entity’s financial risks within its policy parameters. </w:t>
      </w:r>
      <w:r w:rsidRPr="00A37FEF">
        <w:rPr>
          <w:rFonts w:cs="Arial"/>
        </w:rPr>
        <w:t xml:space="preserve">The </w:t>
      </w:r>
      <w:r>
        <w:rPr>
          <w:rFonts w:cs="Arial"/>
        </w:rPr>
        <w:t>entity’s</w:t>
      </w:r>
      <w:r w:rsidRPr="00A37FEF">
        <w:rPr>
          <w:rFonts w:cs="Arial"/>
        </w:rPr>
        <w:t xml:space="preserve"> main financial risks incl</w:t>
      </w:r>
      <w:r>
        <w:rPr>
          <w:rFonts w:cs="Arial"/>
        </w:rPr>
        <w:t>ude credit risk, liquidity risk and</w:t>
      </w:r>
      <w:r w:rsidRPr="00A37FEF">
        <w:rPr>
          <w:rFonts w:cs="Arial"/>
        </w:rPr>
        <w:t xml:space="preserve"> interest rate risk</w:t>
      </w:r>
      <w:r>
        <w:rPr>
          <w:rFonts w:cs="Arial"/>
        </w:rPr>
        <w:t>. The entity</w:t>
      </w:r>
      <w:r w:rsidRPr="00A37FEF">
        <w:rPr>
          <w:rFonts w:cs="Arial"/>
        </w:rPr>
        <w:t xml:space="preserve"> manages these financial risks in accordance with its financial </w:t>
      </w:r>
      <w:r>
        <w:rPr>
          <w:rFonts w:cs="Arial"/>
        </w:rPr>
        <w:t>management policies</w:t>
      </w:r>
      <w:r w:rsidRPr="00A37FEF">
        <w:rPr>
          <w:rFonts w:cs="Arial"/>
        </w:rPr>
        <w:t>.</w:t>
      </w:r>
    </w:p>
    <w:p w:rsidR="00513943" w:rsidRDefault="00513943" w:rsidP="00513943">
      <w:pPr>
        <w:keepNext w:val="0"/>
        <w:ind w:left="567"/>
        <w:outlineLvl w:val="9"/>
        <w:rPr>
          <w:rFonts w:cs="Arial"/>
        </w:rPr>
      </w:pPr>
    </w:p>
    <w:p w:rsidR="00513943" w:rsidRDefault="00513943" w:rsidP="00513943">
      <w:pPr>
        <w:keepNext w:val="0"/>
        <w:ind w:left="567"/>
        <w:outlineLvl w:val="9"/>
        <w:rPr>
          <w:rFonts w:cs="Arial"/>
        </w:rPr>
      </w:pPr>
      <w:r>
        <w:rPr>
          <w:rFonts w:cs="Arial"/>
        </w:rPr>
        <w:t>Cash investments are governed by an investment policy approved by the Museums Board of Victoria. The policy restricts the types and terms of investments to government securities or government guaranteed securities and low risk instruments with rated financial institutions.</w:t>
      </w:r>
    </w:p>
    <w:p w:rsidR="00513943" w:rsidRDefault="00513943" w:rsidP="00513943">
      <w:pPr>
        <w:keepNext w:val="0"/>
        <w:ind w:left="567"/>
        <w:outlineLvl w:val="9"/>
      </w:pPr>
    </w:p>
    <w:p w:rsidR="009C1080" w:rsidRDefault="009C1080">
      <w:pPr>
        <w:keepNext w:val="0"/>
        <w:spacing w:after="200" w:line="276" w:lineRule="auto"/>
        <w:outlineLvl w:val="9"/>
        <w:rPr>
          <w:rFonts w:cs="Arial"/>
        </w:rPr>
      </w:pPr>
      <w:r>
        <w:rPr>
          <w:rFonts w:cs="Arial"/>
        </w:rPr>
        <w:br w:type="page"/>
      </w:r>
    </w:p>
    <w:tbl>
      <w:tblPr>
        <w:tblpPr w:leftFromText="180" w:rightFromText="180" w:vertAnchor="text" w:horzAnchor="margin" w:tblpY="1348"/>
        <w:tblW w:w="8236" w:type="dxa"/>
        <w:tblLook w:val="00A0" w:firstRow="1" w:lastRow="0" w:firstColumn="1" w:lastColumn="0" w:noHBand="0" w:noVBand="0"/>
        <w:tblCaption w:val="Financial Instruments: Cateogrisation of Financial Instruments"/>
        <w:tblDescription w:val="This table shows the Categorisation of Financial Instruments for 2012–13 with comparison to 2011–12."/>
      </w:tblPr>
      <w:tblGrid>
        <w:gridCol w:w="3790"/>
        <w:gridCol w:w="1557"/>
        <w:gridCol w:w="1557"/>
        <w:gridCol w:w="1332"/>
      </w:tblGrid>
      <w:tr w:rsidR="009C1080" w:rsidRPr="0064748F" w:rsidTr="009C1080">
        <w:trPr>
          <w:trHeight w:val="263"/>
        </w:trPr>
        <w:tc>
          <w:tcPr>
            <w:tcW w:w="5347" w:type="dxa"/>
            <w:gridSpan w:val="2"/>
            <w:noWrap/>
            <w:vAlign w:val="bottom"/>
          </w:tcPr>
          <w:p w:rsidR="009C1080" w:rsidRDefault="009C1080" w:rsidP="00D74A18">
            <w:pPr>
              <w:pStyle w:val="Heading5"/>
            </w:pPr>
            <w:r w:rsidRPr="00D605F7">
              <w:lastRenderedPageBreak/>
              <w:t>(b) Categorisation of financial instruments</w:t>
            </w:r>
          </w:p>
          <w:p w:rsidR="009C1080" w:rsidRPr="0064748F" w:rsidRDefault="009C1080" w:rsidP="00D74A18">
            <w:pPr>
              <w:pStyle w:val="Heading5"/>
              <w:rPr>
                <w:bCs/>
                <w:sz w:val="20"/>
                <w:szCs w:val="20"/>
              </w:rPr>
            </w:pPr>
          </w:p>
        </w:tc>
        <w:tc>
          <w:tcPr>
            <w:tcW w:w="1557" w:type="dxa"/>
            <w:noWrap/>
            <w:vAlign w:val="bottom"/>
          </w:tcPr>
          <w:p w:rsidR="009C1080" w:rsidRPr="0064748F" w:rsidRDefault="009C1080" w:rsidP="00D74A18">
            <w:pPr>
              <w:rPr>
                <w:rFonts w:cs="Arial"/>
                <w:sz w:val="20"/>
                <w:szCs w:val="20"/>
              </w:rPr>
            </w:pPr>
            <w:r w:rsidRPr="0064748F">
              <w:rPr>
                <w:rFonts w:cs="Arial"/>
                <w:sz w:val="20"/>
                <w:szCs w:val="20"/>
              </w:rPr>
              <w:t> </w:t>
            </w:r>
          </w:p>
        </w:tc>
        <w:tc>
          <w:tcPr>
            <w:tcW w:w="1332" w:type="dxa"/>
            <w:noWrap/>
            <w:vAlign w:val="bottom"/>
          </w:tcPr>
          <w:p w:rsidR="009C1080" w:rsidRPr="0064748F" w:rsidRDefault="009C1080" w:rsidP="00D74A18">
            <w:pPr>
              <w:jc w:val="right"/>
              <w:rPr>
                <w:rFonts w:cs="Arial"/>
                <w:b/>
                <w:bCs/>
                <w:i/>
                <w:iCs/>
                <w:sz w:val="20"/>
                <w:szCs w:val="20"/>
              </w:rPr>
            </w:pPr>
            <w:r w:rsidRPr="0064748F">
              <w:rPr>
                <w:rFonts w:cs="Arial"/>
                <w:b/>
                <w:bCs/>
                <w:i/>
                <w:iCs/>
                <w:sz w:val="20"/>
                <w:szCs w:val="20"/>
              </w:rPr>
              <w:t>$'000</w:t>
            </w:r>
          </w:p>
        </w:tc>
      </w:tr>
      <w:tr w:rsidR="009C1080" w:rsidRPr="0064748F" w:rsidTr="009C1080">
        <w:trPr>
          <w:trHeight w:val="930"/>
        </w:trPr>
        <w:tc>
          <w:tcPr>
            <w:tcW w:w="3790" w:type="dxa"/>
            <w:noWrap/>
            <w:vAlign w:val="bottom"/>
          </w:tcPr>
          <w:p w:rsidR="009C1080" w:rsidRPr="0064748F" w:rsidRDefault="009C1080" w:rsidP="00D74A18">
            <w:pPr>
              <w:rPr>
                <w:rFonts w:cs="Arial"/>
                <w:b/>
                <w:bCs/>
                <w:sz w:val="20"/>
                <w:szCs w:val="20"/>
              </w:rPr>
            </w:pPr>
            <w:r w:rsidRPr="0064748F">
              <w:rPr>
                <w:rFonts w:cs="Arial"/>
                <w:b/>
                <w:bCs/>
                <w:sz w:val="20"/>
                <w:szCs w:val="20"/>
              </w:rPr>
              <w:t> </w:t>
            </w:r>
          </w:p>
        </w:tc>
        <w:tc>
          <w:tcPr>
            <w:tcW w:w="1557" w:type="dxa"/>
            <w:shd w:val="clear" w:color="000000" w:fill="D8D8D8"/>
          </w:tcPr>
          <w:p w:rsidR="009C1080" w:rsidRPr="0064748F" w:rsidRDefault="009C1080" w:rsidP="00D74A18">
            <w:pPr>
              <w:rPr>
                <w:rFonts w:cs="Arial"/>
                <w:sz w:val="20"/>
                <w:szCs w:val="20"/>
              </w:rPr>
            </w:pPr>
            <w:r w:rsidRPr="0064748F">
              <w:rPr>
                <w:rFonts w:cs="Arial"/>
                <w:sz w:val="20"/>
                <w:szCs w:val="20"/>
              </w:rPr>
              <w:t>Contractual financial assets-loans and receivables</w:t>
            </w:r>
          </w:p>
        </w:tc>
        <w:tc>
          <w:tcPr>
            <w:tcW w:w="1557" w:type="dxa"/>
            <w:shd w:val="clear" w:color="auto" w:fill="D9D9D9"/>
          </w:tcPr>
          <w:p w:rsidR="009C1080" w:rsidRPr="0064748F" w:rsidRDefault="009C1080" w:rsidP="00D74A18">
            <w:pPr>
              <w:rPr>
                <w:rFonts w:cs="Arial"/>
                <w:sz w:val="20"/>
                <w:szCs w:val="20"/>
              </w:rPr>
            </w:pPr>
            <w:r w:rsidRPr="0064748F">
              <w:rPr>
                <w:rFonts w:cs="Arial"/>
                <w:sz w:val="20"/>
                <w:szCs w:val="20"/>
              </w:rPr>
              <w:t>Contractual financial liabilities at amortised cost</w:t>
            </w:r>
          </w:p>
        </w:tc>
        <w:tc>
          <w:tcPr>
            <w:tcW w:w="1332" w:type="dxa"/>
          </w:tcPr>
          <w:p w:rsidR="009C1080" w:rsidRPr="0064748F" w:rsidRDefault="009C1080" w:rsidP="00D74A18">
            <w:pPr>
              <w:jc w:val="right"/>
              <w:rPr>
                <w:rFonts w:cs="Arial"/>
                <w:sz w:val="20"/>
                <w:szCs w:val="20"/>
              </w:rPr>
            </w:pPr>
            <w:r w:rsidRPr="0064748F">
              <w:rPr>
                <w:rFonts w:cs="Arial"/>
                <w:sz w:val="20"/>
                <w:szCs w:val="20"/>
              </w:rPr>
              <w:t>Total</w:t>
            </w:r>
          </w:p>
        </w:tc>
      </w:tr>
      <w:tr w:rsidR="009C1080" w:rsidRPr="0064748F" w:rsidTr="009C1080">
        <w:trPr>
          <w:trHeight w:val="232"/>
        </w:trPr>
        <w:tc>
          <w:tcPr>
            <w:tcW w:w="3790" w:type="dxa"/>
            <w:noWrap/>
            <w:vAlign w:val="bottom"/>
          </w:tcPr>
          <w:p w:rsidR="009C1080" w:rsidRPr="0064748F" w:rsidRDefault="009C1080" w:rsidP="00D74A18">
            <w:pPr>
              <w:rPr>
                <w:rFonts w:cs="Arial"/>
                <w:b/>
                <w:bCs/>
                <w:sz w:val="20"/>
                <w:szCs w:val="20"/>
              </w:rPr>
            </w:pPr>
            <w:r w:rsidRPr="0064748F">
              <w:rPr>
                <w:rFonts w:cs="Arial"/>
                <w:b/>
                <w:bCs/>
                <w:sz w:val="20"/>
                <w:szCs w:val="20"/>
              </w:rPr>
              <w:t>2013</w:t>
            </w:r>
          </w:p>
        </w:tc>
        <w:tc>
          <w:tcPr>
            <w:tcW w:w="1557" w:type="dxa"/>
            <w:shd w:val="clear" w:color="000000" w:fill="D8D8D8"/>
          </w:tcPr>
          <w:p w:rsidR="009C1080" w:rsidRPr="0064748F" w:rsidRDefault="009C1080" w:rsidP="00D74A18">
            <w:pPr>
              <w:rPr>
                <w:rFonts w:cs="Arial"/>
                <w:sz w:val="20"/>
                <w:szCs w:val="20"/>
              </w:rPr>
            </w:pPr>
            <w:r w:rsidRPr="0064748F">
              <w:rPr>
                <w:rFonts w:cs="Arial"/>
                <w:sz w:val="20"/>
                <w:szCs w:val="20"/>
              </w:rPr>
              <w:t> </w:t>
            </w:r>
          </w:p>
        </w:tc>
        <w:tc>
          <w:tcPr>
            <w:tcW w:w="1557" w:type="dxa"/>
            <w:shd w:val="clear" w:color="auto" w:fill="D9D9D9"/>
          </w:tcPr>
          <w:p w:rsidR="009C1080" w:rsidRPr="0064748F" w:rsidRDefault="009C1080" w:rsidP="00D74A18">
            <w:pPr>
              <w:rPr>
                <w:rFonts w:cs="Arial"/>
                <w:sz w:val="20"/>
                <w:szCs w:val="20"/>
              </w:rPr>
            </w:pPr>
          </w:p>
        </w:tc>
        <w:tc>
          <w:tcPr>
            <w:tcW w:w="1332" w:type="dxa"/>
          </w:tcPr>
          <w:p w:rsidR="009C1080" w:rsidRPr="0064748F" w:rsidRDefault="009C1080" w:rsidP="00D74A18">
            <w:pPr>
              <w:jc w:val="right"/>
              <w:rPr>
                <w:rFonts w:cs="Arial"/>
                <w:sz w:val="20"/>
                <w:szCs w:val="20"/>
              </w:rPr>
            </w:pPr>
          </w:p>
        </w:tc>
      </w:tr>
      <w:tr w:rsidR="009C1080" w:rsidRPr="0064748F" w:rsidTr="009C1080">
        <w:trPr>
          <w:trHeight w:val="232"/>
        </w:trPr>
        <w:tc>
          <w:tcPr>
            <w:tcW w:w="3790" w:type="dxa"/>
            <w:noWrap/>
            <w:vAlign w:val="bottom"/>
          </w:tcPr>
          <w:p w:rsidR="009C1080" w:rsidRPr="0064748F" w:rsidRDefault="009C1080" w:rsidP="00D74A18">
            <w:pPr>
              <w:rPr>
                <w:rFonts w:cs="Arial"/>
                <w:b/>
                <w:bCs/>
                <w:sz w:val="20"/>
                <w:szCs w:val="20"/>
              </w:rPr>
            </w:pPr>
            <w:r w:rsidRPr="0064748F">
              <w:rPr>
                <w:rFonts w:cs="Arial"/>
                <w:b/>
                <w:bCs/>
                <w:sz w:val="20"/>
                <w:szCs w:val="20"/>
              </w:rPr>
              <w:t>Contractual financial assets</w:t>
            </w:r>
          </w:p>
        </w:tc>
        <w:tc>
          <w:tcPr>
            <w:tcW w:w="1557" w:type="dxa"/>
            <w:shd w:val="clear" w:color="000000" w:fill="D8D8D8"/>
            <w:vAlign w:val="bottom"/>
          </w:tcPr>
          <w:p w:rsidR="009C1080" w:rsidRPr="0064748F" w:rsidRDefault="009C1080" w:rsidP="00D74A18">
            <w:pPr>
              <w:rPr>
                <w:rFonts w:cs="Arial"/>
                <w:sz w:val="20"/>
                <w:szCs w:val="20"/>
              </w:rPr>
            </w:pPr>
            <w:r w:rsidRPr="0064748F">
              <w:rPr>
                <w:rFonts w:cs="Arial"/>
                <w:sz w:val="20"/>
                <w:szCs w:val="20"/>
              </w:rPr>
              <w:t> </w:t>
            </w:r>
          </w:p>
        </w:tc>
        <w:tc>
          <w:tcPr>
            <w:tcW w:w="1557" w:type="dxa"/>
            <w:shd w:val="clear" w:color="auto" w:fill="D9D9D9"/>
            <w:vAlign w:val="bottom"/>
          </w:tcPr>
          <w:p w:rsidR="009C1080" w:rsidRPr="0064748F" w:rsidRDefault="009C1080" w:rsidP="00D74A18">
            <w:pPr>
              <w:rPr>
                <w:rFonts w:cs="Arial"/>
                <w:sz w:val="20"/>
                <w:szCs w:val="20"/>
              </w:rPr>
            </w:pPr>
          </w:p>
        </w:tc>
        <w:tc>
          <w:tcPr>
            <w:tcW w:w="1332" w:type="dxa"/>
          </w:tcPr>
          <w:p w:rsidR="009C1080" w:rsidRPr="0064748F" w:rsidRDefault="009C1080" w:rsidP="00D74A18">
            <w:pPr>
              <w:rPr>
                <w:rFonts w:cs="Arial"/>
                <w:sz w:val="20"/>
                <w:szCs w:val="20"/>
              </w:rPr>
            </w:pPr>
          </w:p>
        </w:tc>
      </w:tr>
      <w:tr w:rsidR="009C1080" w:rsidRPr="0064748F" w:rsidTr="009C1080">
        <w:trPr>
          <w:trHeight w:val="232"/>
        </w:trPr>
        <w:tc>
          <w:tcPr>
            <w:tcW w:w="3790" w:type="dxa"/>
            <w:noWrap/>
            <w:vAlign w:val="bottom"/>
          </w:tcPr>
          <w:p w:rsidR="009C1080" w:rsidRPr="0064748F" w:rsidRDefault="009C1080" w:rsidP="00D74A18">
            <w:pPr>
              <w:rPr>
                <w:rFonts w:cs="Arial"/>
                <w:sz w:val="20"/>
                <w:szCs w:val="20"/>
              </w:rPr>
            </w:pPr>
            <w:r w:rsidRPr="0064748F">
              <w:rPr>
                <w:rFonts w:cs="Arial"/>
                <w:sz w:val="20"/>
                <w:szCs w:val="20"/>
              </w:rPr>
              <w:t>Cash and deposits</w:t>
            </w:r>
          </w:p>
        </w:tc>
        <w:tc>
          <w:tcPr>
            <w:tcW w:w="1557" w:type="dxa"/>
            <w:shd w:val="clear" w:color="000000" w:fill="D8D8D8"/>
            <w:vAlign w:val="bottom"/>
          </w:tcPr>
          <w:p w:rsidR="009C1080" w:rsidRPr="0064748F" w:rsidRDefault="009C1080" w:rsidP="00D74A18">
            <w:pPr>
              <w:jc w:val="right"/>
              <w:rPr>
                <w:rFonts w:cs="Arial"/>
                <w:iCs/>
                <w:sz w:val="20"/>
                <w:szCs w:val="20"/>
              </w:rPr>
            </w:pPr>
            <w:r w:rsidRPr="0064748F">
              <w:rPr>
                <w:rFonts w:cs="Arial"/>
                <w:iCs/>
                <w:sz w:val="20"/>
                <w:szCs w:val="20"/>
              </w:rPr>
              <w:t>24,398</w:t>
            </w:r>
          </w:p>
        </w:tc>
        <w:tc>
          <w:tcPr>
            <w:tcW w:w="1557" w:type="dxa"/>
            <w:shd w:val="clear" w:color="auto" w:fill="D9D9D9"/>
            <w:vAlign w:val="bottom"/>
          </w:tcPr>
          <w:p w:rsidR="009C1080" w:rsidRPr="0064748F" w:rsidRDefault="009C1080" w:rsidP="00D74A18">
            <w:pPr>
              <w:jc w:val="right"/>
              <w:rPr>
                <w:rFonts w:cs="Arial"/>
                <w:iCs/>
                <w:sz w:val="20"/>
                <w:szCs w:val="20"/>
              </w:rPr>
            </w:pPr>
            <w:r w:rsidRPr="0064748F">
              <w:rPr>
                <w:rFonts w:cs="Arial"/>
                <w:iCs/>
                <w:sz w:val="20"/>
                <w:szCs w:val="20"/>
              </w:rPr>
              <w:t>0</w:t>
            </w:r>
          </w:p>
        </w:tc>
        <w:tc>
          <w:tcPr>
            <w:tcW w:w="1332" w:type="dxa"/>
          </w:tcPr>
          <w:p w:rsidR="009C1080" w:rsidRPr="0064748F" w:rsidRDefault="009C1080" w:rsidP="00D74A18">
            <w:pPr>
              <w:jc w:val="right"/>
              <w:rPr>
                <w:rFonts w:cs="Arial"/>
                <w:iCs/>
                <w:sz w:val="20"/>
                <w:szCs w:val="20"/>
              </w:rPr>
            </w:pPr>
            <w:r w:rsidRPr="0064748F">
              <w:rPr>
                <w:rFonts w:cs="Arial"/>
                <w:iCs/>
                <w:sz w:val="20"/>
                <w:szCs w:val="20"/>
              </w:rPr>
              <w:t xml:space="preserve">24,398 </w:t>
            </w:r>
          </w:p>
        </w:tc>
      </w:tr>
      <w:tr w:rsidR="009C1080" w:rsidRPr="0064748F" w:rsidTr="009C1080">
        <w:trPr>
          <w:trHeight w:val="232"/>
        </w:trPr>
        <w:tc>
          <w:tcPr>
            <w:tcW w:w="3790" w:type="dxa"/>
            <w:noWrap/>
            <w:vAlign w:val="bottom"/>
          </w:tcPr>
          <w:p w:rsidR="009C1080" w:rsidRPr="0064748F" w:rsidRDefault="009C1080" w:rsidP="00D74A18">
            <w:pPr>
              <w:rPr>
                <w:rFonts w:cs="Arial"/>
                <w:sz w:val="20"/>
                <w:szCs w:val="20"/>
              </w:rPr>
            </w:pPr>
            <w:r w:rsidRPr="0064748F">
              <w:rPr>
                <w:rFonts w:cs="Arial"/>
                <w:sz w:val="20"/>
                <w:szCs w:val="20"/>
              </w:rPr>
              <w:t xml:space="preserve">Receivables </w:t>
            </w:r>
          </w:p>
        </w:tc>
        <w:tc>
          <w:tcPr>
            <w:tcW w:w="1557" w:type="dxa"/>
            <w:shd w:val="clear" w:color="000000" w:fill="D8D8D8"/>
            <w:noWrap/>
            <w:vAlign w:val="bottom"/>
          </w:tcPr>
          <w:p w:rsidR="009C1080" w:rsidRPr="0064748F" w:rsidRDefault="009C1080" w:rsidP="00D74A18">
            <w:pPr>
              <w:rPr>
                <w:rFonts w:cs="Arial"/>
                <w:sz w:val="20"/>
                <w:szCs w:val="20"/>
              </w:rPr>
            </w:pPr>
            <w:r w:rsidRPr="0064748F">
              <w:rPr>
                <w:rFonts w:cs="Arial"/>
                <w:sz w:val="20"/>
                <w:szCs w:val="20"/>
              </w:rPr>
              <w:t> </w:t>
            </w:r>
          </w:p>
        </w:tc>
        <w:tc>
          <w:tcPr>
            <w:tcW w:w="1557" w:type="dxa"/>
            <w:shd w:val="clear" w:color="auto" w:fill="D9D9D9"/>
            <w:noWrap/>
            <w:vAlign w:val="bottom"/>
          </w:tcPr>
          <w:p w:rsidR="009C1080" w:rsidRPr="0064748F" w:rsidRDefault="009C1080" w:rsidP="00D74A18">
            <w:pPr>
              <w:rPr>
                <w:rFonts w:cs="Arial"/>
                <w:sz w:val="20"/>
                <w:szCs w:val="20"/>
              </w:rPr>
            </w:pPr>
          </w:p>
        </w:tc>
        <w:tc>
          <w:tcPr>
            <w:tcW w:w="1332" w:type="dxa"/>
            <w:noWrap/>
            <w:vAlign w:val="bottom"/>
          </w:tcPr>
          <w:p w:rsidR="009C1080" w:rsidRPr="0064748F" w:rsidRDefault="009C1080" w:rsidP="00D74A18">
            <w:pPr>
              <w:rPr>
                <w:rFonts w:cs="Arial"/>
                <w:sz w:val="20"/>
                <w:szCs w:val="20"/>
              </w:rPr>
            </w:pPr>
          </w:p>
        </w:tc>
      </w:tr>
      <w:tr w:rsidR="009C1080" w:rsidRPr="0064748F" w:rsidTr="009C1080">
        <w:trPr>
          <w:trHeight w:val="232"/>
        </w:trPr>
        <w:tc>
          <w:tcPr>
            <w:tcW w:w="3790" w:type="dxa"/>
            <w:noWrap/>
            <w:vAlign w:val="bottom"/>
          </w:tcPr>
          <w:p w:rsidR="009C1080" w:rsidRPr="0064748F" w:rsidRDefault="009C1080" w:rsidP="00D74A18">
            <w:pPr>
              <w:rPr>
                <w:rFonts w:cs="Arial"/>
                <w:sz w:val="20"/>
                <w:szCs w:val="20"/>
              </w:rPr>
            </w:pPr>
            <w:r w:rsidRPr="0064748F">
              <w:rPr>
                <w:rFonts w:cs="Arial"/>
                <w:sz w:val="20"/>
                <w:szCs w:val="20"/>
              </w:rPr>
              <w:t>Sale of goods and services</w:t>
            </w:r>
          </w:p>
        </w:tc>
        <w:tc>
          <w:tcPr>
            <w:tcW w:w="1557" w:type="dxa"/>
            <w:shd w:val="clear" w:color="000000" w:fill="D8D8D8"/>
            <w:noWrap/>
            <w:vAlign w:val="bottom"/>
          </w:tcPr>
          <w:p w:rsidR="009C1080" w:rsidRPr="0064748F" w:rsidRDefault="009C1080" w:rsidP="00D74A18">
            <w:pPr>
              <w:jc w:val="right"/>
              <w:rPr>
                <w:rFonts w:cs="Arial"/>
                <w:sz w:val="20"/>
                <w:szCs w:val="20"/>
              </w:rPr>
            </w:pPr>
            <w:r w:rsidRPr="0064748F">
              <w:rPr>
                <w:rFonts w:cs="Arial"/>
                <w:sz w:val="20"/>
                <w:szCs w:val="20"/>
              </w:rPr>
              <w:t>1,647</w:t>
            </w:r>
          </w:p>
        </w:tc>
        <w:tc>
          <w:tcPr>
            <w:tcW w:w="1557" w:type="dxa"/>
            <w:shd w:val="clear" w:color="auto" w:fill="D9D9D9"/>
            <w:noWrap/>
            <w:vAlign w:val="bottom"/>
          </w:tcPr>
          <w:p w:rsidR="009C1080" w:rsidRPr="0064748F" w:rsidRDefault="009C1080" w:rsidP="00D74A18">
            <w:pPr>
              <w:jc w:val="right"/>
              <w:rPr>
                <w:rFonts w:cs="Arial"/>
                <w:sz w:val="20"/>
                <w:szCs w:val="20"/>
              </w:rPr>
            </w:pPr>
            <w:r w:rsidRPr="0064748F">
              <w:rPr>
                <w:rFonts w:cs="Arial"/>
                <w:sz w:val="20"/>
                <w:szCs w:val="20"/>
              </w:rPr>
              <w:t>0</w:t>
            </w:r>
          </w:p>
        </w:tc>
        <w:tc>
          <w:tcPr>
            <w:tcW w:w="1332" w:type="dxa"/>
            <w:noWrap/>
            <w:vAlign w:val="bottom"/>
          </w:tcPr>
          <w:p w:rsidR="009C1080" w:rsidRPr="0064748F" w:rsidRDefault="009C1080" w:rsidP="00D74A18">
            <w:pPr>
              <w:jc w:val="right"/>
              <w:rPr>
                <w:rFonts w:cs="Arial"/>
                <w:sz w:val="20"/>
                <w:szCs w:val="20"/>
              </w:rPr>
            </w:pPr>
            <w:r w:rsidRPr="0064748F">
              <w:rPr>
                <w:rFonts w:cs="Arial"/>
                <w:sz w:val="20"/>
                <w:szCs w:val="20"/>
              </w:rPr>
              <w:t>1,647</w:t>
            </w:r>
          </w:p>
        </w:tc>
      </w:tr>
      <w:tr w:rsidR="009C1080" w:rsidRPr="0064748F" w:rsidTr="009C1080">
        <w:trPr>
          <w:trHeight w:val="248"/>
        </w:trPr>
        <w:tc>
          <w:tcPr>
            <w:tcW w:w="3790" w:type="dxa"/>
            <w:noWrap/>
            <w:vAlign w:val="bottom"/>
          </w:tcPr>
          <w:p w:rsidR="009C1080" w:rsidRPr="0064748F" w:rsidRDefault="009C1080" w:rsidP="00D74A18">
            <w:pPr>
              <w:rPr>
                <w:rFonts w:cs="Arial"/>
                <w:b/>
                <w:bCs/>
                <w:sz w:val="20"/>
                <w:szCs w:val="20"/>
              </w:rPr>
            </w:pPr>
            <w:r w:rsidRPr="0064748F">
              <w:rPr>
                <w:rFonts w:cs="Arial"/>
                <w:b/>
                <w:bCs/>
                <w:sz w:val="20"/>
                <w:szCs w:val="20"/>
              </w:rPr>
              <w:t>Total contractual financial assets</w:t>
            </w:r>
          </w:p>
        </w:tc>
        <w:tc>
          <w:tcPr>
            <w:tcW w:w="1557" w:type="dxa"/>
            <w:shd w:val="clear" w:color="000000" w:fill="D8D8D8"/>
            <w:noWrap/>
            <w:vAlign w:val="bottom"/>
          </w:tcPr>
          <w:p w:rsidR="009C1080" w:rsidRPr="0064748F" w:rsidRDefault="009C1080" w:rsidP="00D74A18">
            <w:pPr>
              <w:jc w:val="right"/>
              <w:rPr>
                <w:rFonts w:cs="Arial"/>
                <w:sz w:val="20"/>
                <w:szCs w:val="20"/>
              </w:rPr>
            </w:pPr>
            <w:r w:rsidRPr="0064748F">
              <w:rPr>
                <w:rFonts w:cs="Arial"/>
                <w:sz w:val="20"/>
                <w:szCs w:val="20"/>
              </w:rPr>
              <w:t>26,045</w:t>
            </w:r>
          </w:p>
        </w:tc>
        <w:tc>
          <w:tcPr>
            <w:tcW w:w="1557" w:type="dxa"/>
            <w:shd w:val="clear" w:color="auto" w:fill="D9D9D9"/>
            <w:noWrap/>
            <w:vAlign w:val="bottom"/>
          </w:tcPr>
          <w:p w:rsidR="009C1080" w:rsidRPr="0064748F" w:rsidRDefault="009C1080" w:rsidP="00D74A18">
            <w:pPr>
              <w:jc w:val="right"/>
              <w:rPr>
                <w:rFonts w:cs="Arial"/>
                <w:sz w:val="20"/>
                <w:szCs w:val="20"/>
              </w:rPr>
            </w:pPr>
            <w:r w:rsidRPr="0064748F">
              <w:rPr>
                <w:rFonts w:cs="Arial"/>
                <w:sz w:val="20"/>
                <w:szCs w:val="20"/>
              </w:rPr>
              <w:t>0</w:t>
            </w:r>
          </w:p>
        </w:tc>
        <w:tc>
          <w:tcPr>
            <w:tcW w:w="1332" w:type="dxa"/>
            <w:noWrap/>
            <w:vAlign w:val="bottom"/>
          </w:tcPr>
          <w:p w:rsidR="009C1080" w:rsidRPr="0064748F" w:rsidRDefault="009C1080" w:rsidP="00D74A18">
            <w:pPr>
              <w:jc w:val="right"/>
              <w:rPr>
                <w:rFonts w:cs="Arial"/>
                <w:sz w:val="20"/>
                <w:szCs w:val="20"/>
              </w:rPr>
            </w:pPr>
            <w:r w:rsidRPr="0064748F">
              <w:rPr>
                <w:rFonts w:cs="Arial"/>
                <w:sz w:val="20"/>
                <w:szCs w:val="20"/>
              </w:rPr>
              <w:t>26,045</w:t>
            </w:r>
          </w:p>
        </w:tc>
      </w:tr>
      <w:tr w:rsidR="009C1080" w:rsidRPr="0064748F" w:rsidTr="009C1080">
        <w:trPr>
          <w:trHeight w:val="232"/>
        </w:trPr>
        <w:tc>
          <w:tcPr>
            <w:tcW w:w="3790" w:type="dxa"/>
            <w:noWrap/>
            <w:vAlign w:val="bottom"/>
          </w:tcPr>
          <w:p w:rsidR="009C1080" w:rsidRPr="0064748F" w:rsidRDefault="009C1080" w:rsidP="00D74A18">
            <w:pPr>
              <w:rPr>
                <w:rFonts w:cs="Arial"/>
                <w:b/>
                <w:bCs/>
                <w:sz w:val="20"/>
                <w:szCs w:val="20"/>
              </w:rPr>
            </w:pPr>
            <w:r w:rsidRPr="0064748F">
              <w:rPr>
                <w:rFonts w:cs="Arial"/>
                <w:b/>
                <w:bCs/>
                <w:sz w:val="20"/>
                <w:szCs w:val="20"/>
              </w:rPr>
              <w:t>Contractual financial liabilities</w:t>
            </w:r>
          </w:p>
        </w:tc>
        <w:tc>
          <w:tcPr>
            <w:tcW w:w="1557" w:type="dxa"/>
            <w:shd w:val="clear" w:color="000000" w:fill="D8D8D8"/>
            <w:vAlign w:val="bottom"/>
          </w:tcPr>
          <w:p w:rsidR="009C1080" w:rsidRPr="0064748F" w:rsidRDefault="009C1080" w:rsidP="00D74A18">
            <w:pPr>
              <w:rPr>
                <w:rFonts w:cs="Arial"/>
                <w:i/>
                <w:iCs/>
                <w:sz w:val="20"/>
                <w:szCs w:val="20"/>
              </w:rPr>
            </w:pPr>
            <w:r w:rsidRPr="0064748F">
              <w:rPr>
                <w:rFonts w:cs="Arial"/>
                <w:i/>
                <w:iCs/>
                <w:sz w:val="20"/>
                <w:szCs w:val="20"/>
              </w:rPr>
              <w:t> </w:t>
            </w:r>
          </w:p>
        </w:tc>
        <w:tc>
          <w:tcPr>
            <w:tcW w:w="1557" w:type="dxa"/>
            <w:shd w:val="clear" w:color="auto" w:fill="D9D9D9"/>
            <w:vAlign w:val="bottom"/>
          </w:tcPr>
          <w:p w:rsidR="009C1080" w:rsidRPr="0064748F" w:rsidRDefault="009C1080" w:rsidP="00D74A18">
            <w:pPr>
              <w:rPr>
                <w:rFonts w:cs="Arial"/>
                <w:i/>
                <w:iCs/>
                <w:sz w:val="20"/>
                <w:szCs w:val="20"/>
              </w:rPr>
            </w:pPr>
          </w:p>
        </w:tc>
        <w:tc>
          <w:tcPr>
            <w:tcW w:w="1332" w:type="dxa"/>
          </w:tcPr>
          <w:p w:rsidR="009C1080" w:rsidRPr="0064748F" w:rsidRDefault="009C1080" w:rsidP="00D74A18">
            <w:pPr>
              <w:rPr>
                <w:rFonts w:cs="Arial"/>
                <w:i/>
                <w:iCs/>
                <w:sz w:val="20"/>
                <w:szCs w:val="20"/>
              </w:rPr>
            </w:pPr>
          </w:p>
        </w:tc>
      </w:tr>
      <w:tr w:rsidR="009C1080" w:rsidRPr="0064748F" w:rsidTr="009C1080">
        <w:trPr>
          <w:trHeight w:val="232"/>
        </w:trPr>
        <w:tc>
          <w:tcPr>
            <w:tcW w:w="3790" w:type="dxa"/>
            <w:noWrap/>
            <w:vAlign w:val="bottom"/>
          </w:tcPr>
          <w:p w:rsidR="009C1080" w:rsidRPr="0064748F" w:rsidRDefault="009C1080" w:rsidP="00D74A18">
            <w:pPr>
              <w:rPr>
                <w:rFonts w:cs="Arial"/>
                <w:sz w:val="20"/>
                <w:szCs w:val="20"/>
              </w:rPr>
            </w:pPr>
            <w:r w:rsidRPr="0064748F">
              <w:rPr>
                <w:rFonts w:cs="Arial"/>
                <w:sz w:val="20"/>
                <w:szCs w:val="20"/>
              </w:rPr>
              <w:t>Payables</w:t>
            </w:r>
          </w:p>
        </w:tc>
        <w:tc>
          <w:tcPr>
            <w:tcW w:w="1557" w:type="dxa"/>
            <w:shd w:val="clear" w:color="000000" w:fill="D8D8D8"/>
            <w:noWrap/>
            <w:vAlign w:val="bottom"/>
          </w:tcPr>
          <w:p w:rsidR="009C1080" w:rsidRPr="0064748F" w:rsidRDefault="009C1080" w:rsidP="00D74A18">
            <w:pPr>
              <w:rPr>
                <w:rFonts w:cs="Arial"/>
                <w:sz w:val="20"/>
                <w:szCs w:val="20"/>
              </w:rPr>
            </w:pPr>
            <w:r w:rsidRPr="0064748F">
              <w:rPr>
                <w:rFonts w:cs="Arial"/>
                <w:sz w:val="20"/>
                <w:szCs w:val="20"/>
              </w:rPr>
              <w:t> </w:t>
            </w:r>
          </w:p>
        </w:tc>
        <w:tc>
          <w:tcPr>
            <w:tcW w:w="1557" w:type="dxa"/>
            <w:shd w:val="clear" w:color="auto" w:fill="D9D9D9"/>
            <w:noWrap/>
            <w:vAlign w:val="bottom"/>
          </w:tcPr>
          <w:p w:rsidR="009C1080" w:rsidRPr="0064748F" w:rsidRDefault="009C1080" w:rsidP="00D74A18">
            <w:pPr>
              <w:rPr>
                <w:rFonts w:cs="Arial"/>
                <w:sz w:val="20"/>
                <w:szCs w:val="20"/>
              </w:rPr>
            </w:pPr>
          </w:p>
        </w:tc>
        <w:tc>
          <w:tcPr>
            <w:tcW w:w="1332" w:type="dxa"/>
            <w:noWrap/>
            <w:vAlign w:val="bottom"/>
          </w:tcPr>
          <w:p w:rsidR="009C1080" w:rsidRPr="0064748F" w:rsidRDefault="009C1080" w:rsidP="00D74A18">
            <w:pPr>
              <w:rPr>
                <w:rFonts w:cs="Arial"/>
                <w:sz w:val="20"/>
                <w:szCs w:val="20"/>
              </w:rPr>
            </w:pPr>
          </w:p>
        </w:tc>
      </w:tr>
      <w:tr w:rsidR="009C1080" w:rsidRPr="0064748F" w:rsidTr="009C1080">
        <w:trPr>
          <w:trHeight w:val="232"/>
        </w:trPr>
        <w:tc>
          <w:tcPr>
            <w:tcW w:w="3790" w:type="dxa"/>
            <w:noWrap/>
            <w:vAlign w:val="bottom"/>
          </w:tcPr>
          <w:p w:rsidR="009C1080" w:rsidRPr="0064748F" w:rsidRDefault="009C1080" w:rsidP="00D74A18">
            <w:pPr>
              <w:rPr>
                <w:rFonts w:cs="Arial"/>
                <w:sz w:val="20"/>
                <w:szCs w:val="20"/>
              </w:rPr>
            </w:pPr>
            <w:r w:rsidRPr="0064748F">
              <w:rPr>
                <w:rFonts w:cs="Arial"/>
                <w:sz w:val="20"/>
                <w:szCs w:val="20"/>
              </w:rPr>
              <w:t>Supplies and services</w:t>
            </w:r>
          </w:p>
        </w:tc>
        <w:tc>
          <w:tcPr>
            <w:tcW w:w="1557" w:type="dxa"/>
            <w:shd w:val="clear" w:color="000000" w:fill="D8D8D8"/>
            <w:noWrap/>
            <w:vAlign w:val="bottom"/>
          </w:tcPr>
          <w:p w:rsidR="009C1080" w:rsidRPr="0064748F" w:rsidRDefault="009C1080" w:rsidP="00D74A18">
            <w:pPr>
              <w:jc w:val="right"/>
              <w:rPr>
                <w:rFonts w:cs="Arial"/>
                <w:sz w:val="20"/>
                <w:szCs w:val="20"/>
              </w:rPr>
            </w:pPr>
            <w:r w:rsidRPr="0064748F">
              <w:rPr>
                <w:rFonts w:cs="Arial"/>
                <w:sz w:val="20"/>
                <w:szCs w:val="20"/>
              </w:rPr>
              <w:t>0</w:t>
            </w:r>
          </w:p>
        </w:tc>
        <w:tc>
          <w:tcPr>
            <w:tcW w:w="1557" w:type="dxa"/>
            <w:shd w:val="clear" w:color="auto" w:fill="D9D9D9"/>
            <w:noWrap/>
            <w:vAlign w:val="bottom"/>
          </w:tcPr>
          <w:p w:rsidR="009C1080" w:rsidRPr="0064748F" w:rsidRDefault="009C1080" w:rsidP="00D74A18">
            <w:pPr>
              <w:jc w:val="right"/>
              <w:rPr>
                <w:rFonts w:cs="Arial"/>
                <w:sz w:val="20"/>
                <w:szCs w:val="20"/>
              </w:rPr>
            </w:pPr>
            <w:r w:rsidRPr="0064748F">
              <w:rPr>
                <w:rFonts w:cs="Arial"/>
                <w:sz w:val="20"/>
                <w:szCs w:val="20"/>
              </w:rPr>
              <w:t>5,182</w:t>
            </w:r>
          </w:p>
        </w:tc>
        <w:tc>
          <w:tcPr>
            <w:tcW w:w="1332" w:type="dxa"/>
            <w:noWrap/>
            <w:vAlign w:val="bottom"/>
          </w:tcPr>
          <w:p w:rsidR="009C1080" w:rsidRPr="0064748F" w:rsidRDefault="009C1080" w:rsidP="00D74A18">
            <w:pPr>
              <w:jc w:val="right"/>
              <w:rPr>
                <w:rFonts w:cs="Arial"/>
                <w:sz w:val="20"/>
                <w:szCs w:val="20"/>
              </w:rPr>
            </w:pPr>
            <w:r w:rsidRPr="0064748F">
              <w:rPr>
                <w:rFonts w:cs="Arial"/>
                <w:sz w:val="20"/>
                <w:szCs w:val="20"/>
              </w:rPr>
              <w:t>5,182</w:t>
            </w:r>
          </w:p>
        </w:tc>
      </w:tr>
      <w:tr w:rsidR="009C1080" w:rsidRPr="0064748F" w:rsidTr="009C1080">
        <w:trPr>
          <w:trHeight w:val="232"/>
        </w:trPr>
        <w:tc>
          <w:tcPr>
            <w:tcW w:w="3790" w:type="dxa"/>
            <w:noWrap/>
            <w:vAlign w:val="bottom"/>
          </w:tcPr>
          <w:p w:rsidR="009C1080" w:rsidRPr="0064748F" w:rsidRDefault="009C1080" w:rsidP="00D74A18">
            <w:pPr>
              <w:rPr>
                <w:rFonts w:cs="Arial"/>
                <w:sz w:val="20"/>
                <w:szCs w:val="20"/>
              </w:rPr>
            </w:pPr>
            <w:r w:rsidRPr="0064748F">
              <w:rPr>
                <w:rFonts w:cs="Arial"/>
                <w:sz w:val="20"/>
                <w:szCs w:val="20"/>
              </w:rPr>
              <w:t>Borrowings</w:t>
            </w:r>
          </w:p>
        </w:tc>
        <w:tc>
          <w:tcPr>
            <w:tcW w:w="1557" w:type="dxa"/>
            <w:shd w:val="clear" w:color="000000" w:fill="D8D8D8"/>
            <w:noWrap/>
            <w:vAlign w:val="bottom"/>
          </w:tcPr>
          <w:p w:rsidR="009C1080" w:rsidRPr="0064748F" w:rsidRDefault="009C1080" w:rsidP="00D74A18">
            <w:pPr>
              <w:rPr>
                <w:rFonts w:cs="Arial"/>
                <w:sz w:val="20"/>
                <w:szCs w:val="20"/>
              </w:rPr>
            </w:pPr>
            <w:r w:rsidRPr="0064748F">
              <w:rPr>
                <w:rFonts w:cs="Arial"/>
                <w:sz w:val="20"/>
                <w:szCs w:val="20"/>
              </w:rPr>
              <w:t> </w:t>
            </w:r>
          </w:p>
        </w:tc>
        <w:tc>
          <w:tcPr>
            <w:tcW w:w="1557" w:type="dxa"/>
            <w:shd w:val="clear" w:color="auto" w:fill="D9D9D9"/>
            <w:noWrap/>
            <w:vAlign w:val="bottom"/>
          </w:tcPr>
          <w:p w:rsidR="009C1080" w:rsidRPr="0064748F" w:rsidRDefault="009C1080" w:rsidP="00D74A18">
            <w:pPr>
              <w:rPr>
                <w:rFonts w:cs="Arial"/>
                <w:sz w:val="20"/>
                <w:szCs w:val="20"/>
              </w:rPr>
            </w:pPr>
          </w:p>
        </w:tc>
        <w:tc>
          <w:tcPr>
            <w:tcW w:w="1332" w:type="dxa"/>
            <w:noWrap/>
            <w:vAlign w:val="bottom"/>
          </w:tcPr>
          <w:p w:rsidR="009C1080" w:rsidRPr="0064748F" w:rsidRDefault="009C1080" w:rsidP="00D74A18">
            <w:pPr>
              <w:rPr>
                <w:rFonts w:cs="Arial"/>
                <w:sz w:val="20"/>
                <w:szCs w:val="20"/>
              </w:rPr>
            </w:pPr>
          </w:p>
        </w:tc>
      </w:tr>
      <w:tr w:rsidR="009C1080" w:rsidRPr="0064748F" w:rsidTr="009C1080">
        <w:trPr>
          <w:trHeight w:val="232"/>
        </w:trPr>
        <w:tc>
          <w:tcPr>
            <w:tcW w:w="3790" w:type="dxa"/>
            <w:noWrap/>
            <w:vAlign w:val="bottom"/>
          </w:tcPr>
          <w:p w:rsidR="009C1080" w:rsidRPr="0064748F" w:rsidRDefault="009C1080" w:rsidP="00D74A18">
            <w:pPr>
              <w:rPr>
                <w:rFonts w:cs="Arial"/>
                <w:sz w:val="20"/>
                <w:szCs w:val="20"/>
              </w:rPr>
            </w:pPr>
            <w:r w:rsidRPr="0064748F">
              <w:rPr>
                <w:rFonts w:cs="Arial"/>
                <w:sz w:val="20"/>
                <w:szCs w:val="20"/>
              </w:rPr>
              <w:t>Lease liabilities</w:t>
            </w:r>
          </w:p>
        </w:tc>
        <w:tc>
          <w:tcPr>
            <w:tcW w:w="1557" w:type="dxa"/>
            <w:shd w:val="clear" w:color="000000" w:fill="D8D8D8"/>
            <w:noWrap/>
            <w:vAlign w:val="bottom"/>
          </w:tcPr>
          <w:p w:rsidR="009C1080" w:rsidRPr="0064748F" w:rsidRDefault="009C1080" w:rsidP="00D74A18">
            <w:pPr>
              <w:jc w:val="right"/>
              <w:rPr>
                <w:rFonts w:cs="Arial"/>
                <w:sz w:val="20"/>
                <w:szCs w:val="20"/>
              </w:rPr>
            </w:pPr>
            <w:r w:rsidRPr="0064748F">
              <w:rPr>
                <w:rFonts w:cs="Arial"/>
                <w:sz w:val="20"/>
                <w:szCs w:val="20"/>
              </w:rPr>
              <w:t>0</w:t>
            </w:r>
          </w:p>
        </w:tc>
        <w:tc>
          <w:tcPr>
            <w:tcW w:w="1557" w:type="dxa"/>
            <w:shd w:val="clear" w:color="auto" w:fill="D9D9D9"/>
            <w:noWrap/>
            <w:vAlign w:val="bottom"/>
          </w:tcPr>
          <w:p w:rsidR="009C1080" w:rsidRPr="0064748F" w:rsidRDefault="009C1080" w:rsidP="00D74A18">
            <w:pPr>
              <w:jc w:val="right"/>
              <w:rPr>
                <w:rFonts w:cs="Arial"/>
                <w:sz w:val="20"/>
                <w:szCs w:val="20"/>
              </w:rPr>
            </w:pPr>
            <w:r w:rsidRPr="0064748F">
              <w:rPr>
                <w:rFonts w:cs="Arial"/>
                <w:sz w:val="20"/>
                <w:szCs w:val="20"/>
              </w:rPr>
              <w:t>289</w:t>
            </w:r>
          </w:p>
        </w:tc>
        <w:tc>
          <w:tcPr>
            <w:tcW w:w="1332" w:type="dxa"/>
            <w:noWrap/>
            <w:vAlign w:val="bottom"/>
          </w:tcPr>
          <w:p w:rsidR="009C1080" w:rsidRPr="0064748F" w:rsidRDefault="009C1080" w:rsidP="00D74A18">
            <w:pPr>
              <w:jc w:val="right"/>
              <w:rPr>
                <w:rFonts w:cs="Arial"/>
                <w:sz w:val="20"/>
                <w:szCs w:val="20"/>
              </w:rPr>
            </w:pPr>
            <w:r w:rsidRPr="0064748F">
              <w:rPr>
                <w:rFonts w:cs="Arial"/>
                <w:sz w:val="20"/>
                <w:szCs w:val="20"/>
              </w:rPr>
              <w:t>289</w:t>
            </w:r>
          </w:p>
        </w:tc>
      </w:tr>
      <w:tr w:rsidR="009C1080" w:rsidRPr="0064748F" w:rsidTr="009C1080">
        <w:trPr>
          <w:trHeight w:val="248"/>
        </w:trPr>
        <w:tc>
          <w:tcPr>
            <w:tcW w:w="3790" w:type="dxa"/>
            <w:vAlign w:val="bottom"/>
          </w:tcPr>
          <w:p w:rsidR="009C1080" w:rsidRPr="0064748F" w:rsidRDefault="009C1080" w:rsidP="00D74A18">
            <w:pPr>
              <w:rPr>
                <w:rFonts w:cs="Arial"/>
                <w:b/>
                <w:bCs/>
                <w:sz w:val="20"/>
                <w:szCs w:val="20"/>
              </w:rPr>
            </w:pPr>
            <w:r w:rsidRPr="0064748F">
              <w:rPr>
                <w:rFonts w:cs="Arial"/>
                <w:b/>
                <w:bCs/>
                <w:sz w:val="20"/>
                <w:szCs w:val="20"/>
              </w:rPr>
              <w:t>Total contractual financial liabilities</w:t>
            </w:r>
          </w:p>
        </w:tc>
        <w:tc>
          <w:tcPr>
            <w:tcW w:w="1557" w:type="dxa"/>
            <w:shd w:val="clear" w:color="000000" w:fill="D8D8D8"/>
            <w:noWrap/>
            <w:vAlign w:val="bottom"/>
          </w:tcPr>
          <w:p w:rsidR="009C1080" w:rsidRPr="0064748F" w:rsidRDefault="009C1080" w:rsidP="00D74A18">
            <w:pPr>
              <w:jc w:val="right"/>
              <w:rPr>
                <w:rFonts w:cs="Arial"/>
                <w:sz w:val="20"/>
                <w:szCs w:val="20"/>
              </w:rPr>
            </w:pPr>
            <w:r w:rsidRPr="0064748F">
              <w:rPr>
                <w:rFonts w:cs="Arial"/>
                <w:sz w:val="20"/>
                <w:szCs w:val="20"/>
              </w:rPr>
              <w:t>0</w:t>
            </w:r>
          </w:p>
        </w:tc>
        <w:tc>
          <w:tcPr>
            <w:tcW w:w="1557" w:type="dxa"/>
            <w:shd w:val="clear" w:color="auto" w:fill="D9D9D9"/>
            <w:noWrap/>
            <w:vAlign w:val="bottom"/>
          </w:tcPr>
          <w:p w:rsidR="009C1080" w:rsidRPr="0064748F" w:rsidRDefault="009C1080" w:rsidP="00D74A18">
            <w:pPr>
              <w:jc w:val="right"/>
              <w:rPr>
                <w:rFonts w:cs="Arial"/>
                <w:sz w:val="20"/>
                <w:szCs w:val="20"/>
              </w:rPr>
            </w:pPr>
            <w:r w:rsidRPr="0064748F">
              <w:rPr>
                <w:rFonts w:cs="Arial"/>
                <w:sz w:val="20"/>
                <w:szCs w:val="20"/>
              </w:rPr>
              <w:t>5,471</w:t>
            </w:r>
          </w:p>
        </w:tc>
        <w:tc>
          <w:tcPr>
            <w:tcW w:w="1332" w:type="dxa"/>
            <w:noWrap/>
            <w:vAlign w:val="bottom"/>
          </w:tcPr>
          <w:p w:rsidR="009C1080" w:rsidRPr="0064748F" w:rsidRDefault="009C1080" w:rsidP="00D74A18">
            <w:pPr>
              <w:jc w:val="right"/>
              <w:rPr>
                <w:rFonts w:cs="Arial"/>
                <w:sz w:val="20"/>
                <w:szCs w:val="20"/>
              </w:rPr>
            </w:pPr>
            <w:r w:rsidRPr="0064748F">
              <w:rPr>
                <w:rFonts w:cs="Arial"/>
                <w:sz w:val="20"/>
                <w:szCs w:val="20"/>
              </w:rPr>
              <w:t>5,471</w:t>
            </w:r>
          </w:p>
        </w:tc>
      </w:tr>
      <w:tr w:rsidR="009C1080" w:rsidRPr="0064748F" w:rsidTr="009C1080">
        <w:trPr>
          <w:trHeight w:val="232"/>
        </w:trPr>
        <w:tc>
          <w:tcPr>
            <w:tcW w:w="3790" w:type="dxa"/>
            <w:noWrap/>
            <w:vAlign w:val="bottom"/>
          </w:tcPr>
          <w:p w:rsidR="009C1080" w:rsidRPr="0064748F" w:rsidRDefault="009C1080" w:rsidP="00D74A18">
            <w:pPr>
              <w:rPr>
                <w:rFonts w:cs="Arial"/>
                <w:sz w:val="20"/>
                <w:szCs w:val="20"/>
              </w:rPr>
            </w:pPr>
            <w:r w:rsidRPr="0064748F">
              <w:rPr>
                <w:rFonts w:cs="Arial"/>
                <w:sz w:val="20"/>
                <w:szCs w:val="20"/>
              </w:rPr>
              <w:t> </w:t>
            </w:r>
          </w:p>
        </w:tc>
        <w:tc>
          <w:tcPr>
            <w:tcW w:w="1557" w:type="dxa"/>
            <w:noWrap/>
            <w:vAlign w:val="bottom"/>
          </w:tcPr>
          <w:p w:rsidR="009C1080" w:rsidRPr="0064748F" w:rsidRDefault="009C1080" w:rsidP="00D74A18">
            <w:pPr>
              <w:rPr>
                <w:rFonts w:cs="Arial"/>
                <w:sz w:val="20"/>
                <w:szCs w:val="20"/>
              </w:rPr>
            </w:pPr>
            <w:r w:rsidRPr="0064748F">
              <w:rPr>
                <w:rFonts w:cs="Arial"/>
                <w:sz w:val="20"/>
                <w:szCs w:val="20"/>
              </w:rPr>
              <w:t> </w:t>
            </w:r>
          </w:p>
        </w:tc>
        <w:tc>
          <w:tcPr>
            <w:tcW w:w="1557" w:type="dxa"/>
            <w:noWrap/>
            <w:vAlign w:val="bottom"/>
          </w:tcPr>
          <w:p w:rsidR="009C1080" w:rsidRPr="0064748F" w:rsidRDefault="009C1080" w:rsidP="00D74A18">
            <w:pPr>
              <w:rPr>
                <w:rFonts w:cs="Arial"/>
                <w:sz w:val="20"/>
                <w:szCs w:val="20"/>
              </w:rPr>
            </w:pPr>
            <w:r w:rsidRPr="0064748F">
              <w:rPr>
                <w:rFonts w:cs="Arial"/>
                <w:sz w:val="20"/>
                <w:szCs w:val="20"/>
              </w:rPr>
              <w:t> </w:t>
            </w:r>
          </w:p>
        </w:tc>
        <w:tc>
          <w:tcPr>
            <w:tcW w:w="1332" w:type="dxa"/>
            <w:noWrap/>
            <w:vAlign w:val="bottom"/>
          </w:tcPr>
          <w:p w:rsidR="009C1080" w:rsidRPr="0064748F" w:rsidRDefault="009C1080" w:rsidP="00D74A18">
            <w:pPr>
              <w:rPr>
                <w:rFonts w:cs="Arial"/>
                <w:sz w:val="20"/>
                <w:szCs w:val="20"/>
              </w:rPr>
            </w:pPr>
            <w:r w:rsidRPr="0064748F">
              <w:rPr>
                <w:rFonts w:cs="Arial"/>
                <w:sz w:val="20"/>
                <w:szCs w:val="20"/>
              </w:rPr>
              <w:t> </w:t>
            </w:r>
          </w:p>
        </w:tc>
      </w:tr>
      <w:tr w:rsidR="009C1080" w:rsidRPr="0064748F" w:rsidTr="009C1080">
        <w:trPr>
          <w:trHeight w:val="232"/>
        </w:trPr>
        <w:tc>
          <w:tcPr>
            <w:tcW w:w="3790" w:type="dxa"/>
            <w:noWrap/>
            <w:vAlign w:val="bottom"/>
          </w:tcPr>
          <w:p w:rsidR="009C1080" w:rsidRPr="0064748F" w:rsidRDefault="009C1080" w:rsidP="00D74A18">
            <w:pPr>
              <w:rPr>
                <w:rFonts w:cs="Arial"/>
                <w:b/>
                <w:bCs/>
                <w:sz w:val="20"/>
                <w:szCs w:val="20"/>
              </w:rPr>
            </w:pPr>
            <w:r w:rsidRPr="0064748F">
              <w:rPr>
                <w:rFonts w:cs="Arial"/>
                <w:b/>
                <w:bCs/>
                <w:sz w:val="20"/>
                <w:szCs w:val="20"/>
              </w:rPr>
              <w:t>2012</w:t>
            </w:r>
          </w:p>
        </w:tc>
        <w:tc>
          <w:tcPr>
            <w:tcW w:w="1557" w:type="dxa"/>
            <w:shd w:val="clear" w:color="000000" w:fill="D8D8D8"/>
          </w:tcPr>
          <w:p w:rsidR="009C1080" w:rsidRPr="0064748F" w:rsidRDefault="009C1080" w:rsidP="00D74A18">
            <w:pPr>
              <w:rPr>
                <w:rFonts w:cs="Arial"/>
                <w:sz w:val="20"/>
                <w:szCs w:val="20"/>
              </w:rPr>
            </w:pPr>
            <w:r w:rsidRPr="0064748F">
              <w:rPr>
                <w:rFonts w:cs="Arial"/>
                <w:sz w:val="20"/>
                <w:szCs w:val="20"/>
              </w:rPr>
              <w:t> </w:t>
            </w:r>
          </w:p>
        </w:tc>
        <w:tc>
          <w:tcPr>
            <w:tcW w:w="1557" w:type="dxa"/>
            <w:shd w:val="clear" w:color="auto" w:fill="D9D9D9"/>
          </w:tcPr>
          <w:p w:rsidR="009C1080" w:rsidRPr="0064748F" w:rsidRDefault="009C1080" w:rsidP="00D74A18">
            <w:pPr>
              <w:rPr>
                <w:rFonts w:cs="Arial"/>
                <w:sz w:val="20"/>
                <w:szCs w:val="20"/>
              </w:rPr>
            </w:pPr>
          </w:p>
        </w:tc>
        <w:tc>
          <w:tcPr>
            <w:tcW w:w="1332" w:type="dxa"/>
          </w:tcPr>
          <w:p w:rsidR="009C1080" w:rsidRPr="0064748F" w:rsidRDefault="009C1080" w:rsidP="00D74A18">
            <w:pPr>
              <w:rPr>
                <w:rFonts w:cs="Arial"/>
                <w:sz w:val="20"/>
                <w:szCs w:val="20"/>
              </w:rPr>
            </w:pPr>
          </w:p>
        </w:tc>
      </w:tr>
      <w:tr w:rsidR="009C1080" w:rsidRPr="0064748F" w:rsidTr="009C1080">
        <w:trPr>
          <w:trHeight w:val="232"/>
        </w:trPr>
        <w:tc>
          <w:tcPr>
            <w:tcW w:w="3790" w:type="dxa"/>
            <w:noWrap/>
            <w:vAlign w:val="bottom"/>
          </w:tcPr>
          <w:p w:rsidR="009C1080" w:rsidRPr="0064748F" w:rsidRDefault="009C1080" w:rsidP="00D74A18">
            <w:pPr>
              <w:rPr>
                <w:rFonts w:cs="Arial"/>
                <w:b/>
                <w:bCs/>
                <w:sz w:val="20"/>
                <w:szCs w:val="20"/>
              </w:rPr>
            </w:pPr>
            <w:r w:rsidRPr="0064748F">
              <w:rPr>
                <w:rFonts w:cs="Arial"/>
                <w:b/>
                <w:bCs/>
                <w:sz w:val="20"/>
                <w:szCs w:val="20"/>
              </w:rPr>
              <w:t>Contractual financial assets</w:t>
            </w:r>
          </w:p>
        </w:tc>
        <w:tc>
          <w:tcPr>
            <w:tcW w:w="1557" w:type="dxa"/>
            <w:shd w:val="clear" w:color="000000" w:fill="D8D8D8"/>
            <w:vAlign w:val="bottom"/>
          </w:tcPr>
          <w:p w:rsidR="009C1080" w:rsidRPr="0064748F" w:rsidRDefault="009C1080" w:rsidP="00D74A18">
            <w:pPr>
              <w:rPr>
                <w:rFonts w:cs="Arial"/>
                <w:sz w:val="20"/>
                <w:szCs w:val="20"/>
              </w:rPr>
            </w:pPr>
            <w:r w:rsidRPr="0064748F">
              <w:rPr>
                <w:rFonts w:cs="Arial"/>
                <w:sz w:val="20"/>
                <w:szCs w:val="20"/>
              </w:rPr>
              <w:t> </w:t>
            </w:r>
          </w:p>
        </w:tc>
        <w:tc>
          <w:tcPr>
            <w:tcW w:w="1557" w:type="dxa"/>
            <w:shd w:val="clear" w:color="auto" w:fill="D9D9D9"/>
            <w:vAlign w:val="bottom"/>
          </w:tcPr>
          <w:p w:rsidR="009C1080" w:rsidRPr="0064748F" w:rsidRDefault="009C1080" w:rsidP="00D74A18">
            <w:pPr>
              <w:rPr>
                <w:rFonts w:cs="Arial"/>
                <w:sz w:val="20"/>
                <w:szCs w:val="20"/>
              </w:rPr>
            </w:pPr>
          </w:p>
        </w:tc>
        <w:tc>
          <w:tcPr>
            <w:tcW w:w="1332" w:type="dxa"/>
          </w:tcPr>
          <w:p w:rsidR="009C1080" w:rsidRPr="0064748F" w:rsidRDefault="009C1080" w:rsidP="00D74A18">
            <w:pPr>
              <w:rPr>
                <w:rFonts w:cs="Arial"/>
                <w:sz w:val="20"/>
                <w:szCs w:val="20"/>
              </w:rPr>
            </w:pPr>
          </w:p>
        </w:tc>
      </w:tr>
      <w:tr w:rsidR="009C1080" w:rsidRPr="0064748F" w:rsidTr="009C1080">
        <w:trPr>
          <w:trHeight w:val="232"/>
        </w:trPr>
        <w:tc>
          <w:tcPr>
            <w:tcW w:w="3790" w:type="dxa"/>
            <w:noWrap/>
            <w:vAlign w:val="bottom"/>
          </w:tcPr>
          <w:p w:rsidR="009C1080" w:rsidRPr="0064748F" w:rsidRDefault="009C1080" w:rsidP="00D74A18">
            <w:pPr>
              <w:rPr>
                <w:rFonts w:cs="Arial"/>
                <w:sz w:val="20"/>
                <w:szCs w:val="20"/>
              </w:rPr>
            </w:pPr>
            <w:r w:rsidRPr="0064748F">
              <w:rPr>
                <w:rFonts w:cs="Arial"/>
                <w:sz w:val="20"/>
                <w:szCs w:val="20"/>
              </w:rPr>
              <w:t>Cash and deposits</w:t>
            </w:r>
          </w:p>
        </w:tc>
        <w:tc>
          <w:tcPr>
            <w:tcW w:w="1557" w:type="dxa"/>
            <w:shd w:val="clear" w:color="000000" w:fill="D8D8D8"/>
            <w:vAlign w:val="bottom"/>
          </w:tcPr>
          <w:p w:rsidR="009C1080" w:rsidRPr="0064748F" w:rsidRDefault="009C1080" w:rsidP="00D74A18">
            <w:pPr>
              <w:jc w:val="right"/>
              <w:rPr>
                <w:rFonts w:cs="Arial"/>
                <w:iCs/>
                <w:sz w:val="20"/>
                <w:szCs w:val="20"/>
              </w:rPr>
            </w:pPr>
            <w:r w:rsidRPr="0064748F">
              <w:rPr>
                <w:rFonts w:cs="Arial"/>
                <w:iCs/>
                <w:sz w:val="20"/>
                <w:szCs w:val="20"/>
              </w:rPr>
              <w:t xml:space="preserve">25,805 </w:t>
            </w:r>
          </w:p>
        </w:tc>
        <w:tc>
          <w:tcPr>
            <w:tcW w:w="1557" w:type="dxa"/>
            <w:shd w:val="clear" w:color="auto" w:fill="D9D9D9"/>
            <w:vAlign w:val="bottom"/>
          </w:tcPr>
          <w:p w:rsidR="009C1080" w:rsidRPr="0064748F" w:rsidRDefault="009C1080" w:rsidP="00D74A18">
            <w:pPr>
              <w:jc w:val="right"/>
              <w:rPr>
                <w:rFonts w:cs="Arial"/>
                <w:iCs/>
                <w:sz w:val="20"/>
                <w:szCs w:val="20"/>
              </w:rPr>
            </w:pPr>
            <w:r w:rsidRPr="0064748F">
              <w:rPr>
                <w:rFonts w:cs="Arial"/>
                <w:iCs/>
                <w:sz w:val="20"/>
                <w:szCs w:val="20"/>
              </w:rPr>
              <w:t>0</w:t>
            </w:r>
          </w:p>
        </w:tc>
        <w:tc>
          <w:tcPr>
            <w:tcW w:w="1332" w:type="dxa"/>
          </w:tcPr>
          <w:p w:rsidR="009C1080" w:rsidRPr="0064748F" w:rsidRDefault="009C1080" w:rsidP="00D74A18">
            <w:pPr>
              <w:jc w:val="right"/>
              <w:rPr>
                <w:rFonts w:cs="Arial"/>
                <w:iCs/>
                <w:sz w:val="20"/>
                <w:szCs w:val="20"/>
              </w:rPr>
            </w:pPr>
            <w:r w:rsidRPr="0064748F">
              <w:rPr>
                <w:rFonts w:cs="Arial"/>
                <w:iCs/>
                <w:sz w:val="20"/>
                <w:szCs w:val="20"/>
              </w:rPr>
              <w:t xml:space="preserve">25,805 </w:t>
            </w:r>
          </w:p>
        </w:tc>
      </w:tr>
      <w:tr w:rsidR="009C1080" w:rsidRPr="0064748F" w:rsidTr="009C1080">
        <w:trPr>
          <w:trHeight w:val="232"/>
        </w:trPr>
        <w:tc>
          <w:tcPr>
            <w:tcW w:w="3790" w:type="dxa"/>
            <w:noWrap/>
            <w:vAlign w:val="bottom"/>
          </w:tcPr>
          <w:p w:rsidR="009C1080" w:rsidRPr="0064748F" w:rsidRDefault="009C1080" w:rsidP="00D74A18">
            <w:pPr>
              <w:rPr>
                <w:rFonts w:cs="Arial"/>
                <w:sz w:val="20"/>
                <w:szCs w:val="20"/>
              </w:rPr>
            </w:pPr>
            <w:r w:rsidRPr="0064748F">
              <w:rPr>
                <w:rFonts w:cs="Arial"/>
                <w:sz w:val="20"/>
                <w:szCs w:val="20"/>
              </w:rPr>
              <w:t xml:space="preserve">Receivables </w:t>
            </w:r>
          </w:p>
        </w:tc>
        <w:tc>
          <w:tcPr>
            <w:tcW w:w="1557" w:type="dxa"/>
            <w:shd w:val="clear" w:color="000000" w:fill="D8D8D8"/>
            <w:noWrap/>
            <w:vAlign w:val="bottom"/>
          </w:tcPr>
          <w:p w:rsidR="009C1080" w:rsidRPr="0064748F" w:rsidRDefault="009C1080" w:rsidP="00D74A18">
            <w:pPr>
              <w:rPr>
                <w:rFonts w:cs="Arial"/>
                <w:sz w:val="20"/>
                <w:szCs w:val="20"/>
              </w:rPr>
            </w:pPr>
            <w:r w:rsidRPr="0064748F">
              <w:rPr>
                <w:rFonts w:cs="Arial"/>
                <w:sz w:val="20"/>
                <w:szCs w:val="20"/>
              </w:rPr>
              <w:t> </w:t>
            </w:r>
          </w:p>
        </w:tc>
        <w:tc>
          <w:tcPr>
            <w:tcW w:w="1557" w:type="dxa"/>
            <w:shd w:val="clear" w:color="auto" w:fill="D9D9D9"/>
            <w:noWrap/>
            <w:vAlign w:val="bottom"/>
          </w:tcPr>
          <w:p w:rsidR="009C1080" w:rsidRPr="0064748F" w:rsidRDefault="009C1080" w:rsidP="00D74A18">
            <w:pPr>
              <w:rPr>
                <w:rFonts w:cs="Arial"/>
                <w:sz w:val="20"/>
                <w:szCs w:val="20"/>
              </w:rPr>
            </w:pPr>
          </w:p>
        </w:tc>
        <w:tc>
          <w:tcPr>
            <w:tcW w:w="1332" w:type="dxa"/>
            <w:noWrap/>
            <w:vAlign w:val="bottom"/>
          </w:tcPr>
          <w:p w:rsidR="009C1080" w:rsidRPr="0064748F" w:rsidRDefault="009C1080" w:rsidP="00D74A18">
            <w:pPr>
              <w:rPr>
                <w:rFonts w:cs="Arial"/>
                <w:sz w:val="20"/>
                <w:szCs w:val="20"/>
              </w:rPr>
            </w:pPr>
          </w:p>
        </w:tc>
      </w:tr>
      <w:tr w:rsidR="009C1080" w:rsidRPr="0064748F" w:rsidTr="009C1080">
        <w:trPr>
          <w:trHeight w:val="232"/>
        </w:trPr>
        <w:tc>
          <w:tcPr>
            <w:tcW w:w="3790" w:type="dxa"/>
            <w:noWrap/>
            <w:vAlign w:val="bottom"/>
          </w:tcPr>
          <w:p w:rsidR="009C1080" w:rsidRPr="0064748F" w:rsidRDefault="009C1080" w:rsidP="00D74A18">
            <w:pPr>
              <w:rPr>
                <w:rFonts w:cs="Arial"/>
                <w:sz w:val="20"/>
                <w:szCs w:val="20"/>
              </w:rPr>
            </w:pPr>
            <w:r w:rsidRPr="0064748F">
              <w:rPr>
                <w:rFonts w:cs="Arial"/>
                <w:sz w:val="20"/>
                <w:szCs w:val="20"/>
              </w:rPr>
              <w:t>Sale of goods and services</w:t>
            </w:r>
          </w:p>
        </w:tc>
        <w:tc>
          <w:tcPr>
            <w:tcW w:w="1557" w:type="dxa"/>
            <w:shd w:val="clear" w:color="000000" w:fill="D8D8D8"/>
            <w:noWrap/>
            <w:vAlign w:val="bottom"/>
          </w:tcPr>
          <w:p w:rsidR="009C1080" w:rsidRPr="0064748F" w:rsidRDefault="009C1080" w:rsidP="00D74A18">
            <w:pPr>
              <w:jc w:val="right"/>
              <w:rPr>
                <w:rFonts w:cs="Arial"/>
                <w:sz w:val="20"/>
                <w:szCs w:val="20"/>
              </w:rPr>
            </w:pPr>
            <w:r w:rsidRPr="0064748F">
              <w:rPr>
                <w:rFonts w:cs="Arial"/>
                <w:sz w:val="20"/>
                <w:szCs w:val="20"/>
              </w:rPr>
              <w:t>0</w:t>
            </w:r>
          </w:p>
        </w:tc>
        <w:tc>
          <w:tcPr>
            <w:tcW w:w="1557" w:type="dxa"/>
            <w:shd w:val="clear" w:color="auto" w:fill="D9D9D9"/>
            <w:noWrap/>
            <w:vAlign w:val="bottom"/>
          </w:tcPr>
          <w:p w:rsidR="009C1080" w:rsidRPr="0064748F" w:rsidRDefault="009C1080" w:rsidP="00D74A18">
            <w:pPr>
              <w:jc w:val="right"/>
              <w:rPr>
                <w:rFonts w:cs="Arial"/>
                <w:sz w:val="20"/>
                <w:szCs w:val="20"/>
              </w:rPr>
            </w:pPr>
            <w:r w:rsidRPr="0064748F">
              <w:rPr>
                <w:rFonts w:cs="Arial"/>
                <w:sz w:val="20"/>
                <w:szCs w:val="20"/>
              </w:rPr>
              <w:t>0</w:t>
            </w:r>
          </w:p>
        </w:tc>
        <w:tc>
          <w:tcPr>
            <w:tcW w:w="1332" w:type="dxa"/>
            <w:noWrap/>
            <w:vAlign w:val="bottom"/>
          </w:tcPr>
          <w:p w:rsidR="009C1080" w:rsidRPr="0064748F" w:rsidRDefault="009C1080" w:rsidP="00D74A18">
            <w:pPr>
              <w:jc w:val="right"/>
              <w:rPr>
                <w:rFonts w:cs="Arial"/>
                <w:sz w:val="20"/>
                <w:szCs w:val="20"/>
              </w:rPr>
            </w:pPr>
            <w:r w:rsidRPr="0064748F">
              <w:rPr>
                <w:rFonts w:cs="Arial"/>
                <w:sz w:val="20"/>
                <w:szCs w:val="20"/>
              </w:rPr>
              <w:t>0</w:t>
            </w:r>
          </w:p>
        </w:tc>
      </w:tr>
      <w:tr w:rsidR="009C1080" w:rsidRPr="0064748F" w:rsidTr="009C1080">
        <w:trPr>
          <w:trHeight w:val="248"/>
        </w:trPr>
        <w:tc>
          <w:tcPr>
            <w:tcW w:w="3790" w:type="dxa"/>
            <w:noWrap/>
            <w:vAlign w:val="bottom"/>
          </w:tcPr>
          <w:p w:rsidR="009C1080" w:rsidRPr="0064748F" w:rsidRDefault="009C1080" w:rsidP="00D74A18">
            <w:pPr>
              <w:rPr>
                <w:rFonts w:cs="Arial"/>
                <w:b/>
                <w:bCs/>
                <w:sz w:val="20"/>
                <w:szCs w:val="20"/>
              </w:rPr>
            </w:pPr>
            <w:r w:rsidRPr="0064748F">
              <w:rPr>
                <w:rFonts w:cs="Arial"/>
                <w:b/>
                <w:bCs/>
                <w:sz w:val="20"/>
                <w:szCs w:val="20"/>
              </w:rPr>
              <w:t>Total contractual financial assets</w:t>
            </w:r>
          </w:p>
        </w:tc>
        <w:tc>
          <w:tcPr>
            <w:tcW w:w="1557" w:type="dxa"/>
            <w:shd w:val="clear" w:color="000000" w:fill="D8D8D8"/>
            <w:noWrap/>
            <w:vAlign w:val="bottom"/>
          </w:tcPr>
          <w:p w:rsidR="009C1080" w:rsidRPr="0064748F" w:rsidRDefault="009C1080" w:rsidP="00D74A18">
            <w:pPr>
              <w:jc w:val="right"/>
              <w:rPr>
                <w:rFonts w:cs="Arial"/>
                <w:sz w:val="20"/>
                <w:szCs w:val="20"/>
              </w:rPr>
            </w:pPr>
            <w:r w:rsidRPr="0064748F">
              <w:rPr>
                <w:rFonts w:cs="Arial"/>
                <w:sz w:val="20"/>
                <w:szCs w:val="20"/>
              </w:rPr>
              <w:t>25,805</w:t>
            </w:r>
          </w:p>
        </w:tc>
        <w:tc>
          <w:tcPr>
            <w:tcW w:w="1557" w:type="dxa"/>
            <w:shd w:val="clear" w:color="auto" w:fill="D9D9D9"/>
            <w:noWrap/>
            <w:vAlign w:val="bottom"/>
          </w:tcPr>
          <w:p w:rsidR="009C1080" w:rsidRPr="0064748F" w:rsidRDefault="009C1080" w:rsidP="00D74A18">
            <w:pPr>
              <w:jc w:val="right"/>
              <w:rPr>
                <w:rFonts w:cs="Arial"/>
                <w:sz w:val="20"/>
                <w:szCs w:val="20"/>
              </w:rPr>
            </w:pPr>
            <w:r w:rsidRPr="0064748F">
              <w:rPr>
                <w:rFonts w:cs="Arial"/>
                <w:sz w:val="20"/>
                <w:szCs w:val="20"/>
              </w:rPr>
              <w:t>0</w:t>
            </w:r>
          </w:p>
        </w:tc>
        <w:tc>
          <w:tcPr>
            <w:tcW w:w="1332" w:type="dxa"/>
            <w:noWrap/>
            <w:vAlign w:val="bottom"/>
          </w:tcPr>
          <w:p w:rsidR="009C1080" w:rsidRPr="0064748F" w:rsidRDefault="009C1080" w:rsidP="00D74A18">
            <w:pPr>
              <w:jc w:val="right"/>
              <w:rPr>
                <w:rFonts w:cs="Arial"/>
                <w:sz w:val="20"/>
                <w:szCs w:val="20"/>
              </w:rPr>
            </w:pPr>
            <w:r w:rsidRPr="0064748F">
              <w:rPr>
                <w:rFonts w:cs="Arial"/>
                <w:sz w:val="20"/>
                <w:szCs w:val="20"/>
              </w:rPr>
              <w:t>25,805</w:t>
            </w:r>
          </w:p>
        </w:tc>
      </w:tr>
      <w:tr w:rsidR="009C1080" w:rsidRPr="0064748F" w:rsidTr="009C1080">
        <w:trPr>
          <w:trHeight w:val="232"/>
        </w:trPr>
        <w:tc>
          <w:tcPr>
            <w:tcW w:w="3790" w:type="dxa"/>
            <w:noWrap/>
            <w:vAlign w:val="bottom"/>
          </w:tcPr>
          <w:p w:rsidR="009C1080" w:rsidRPr="0064748F" w:rsidRDefault="009C1080" w:rsidP="00D74A18">
            <w:pPr>
              <w:rPr>
                <w:rFonts w:cs="Arial"/>
                <w:b/>
                <w:bCs/>
                <w:sz w:val="20"/>
                <w:szCs w:val="20"/>
              </w:rPr>
            </w:pPr>
            <w:r w:rsidRPr="0064748F">
              <w:rPr>
                <w:rFonts w:cs="Arial"/>
                <w:b/>
                <w:bCs/>
                <w:sz w:val="20"/>
                <w:szCs w:val="20"/>
              </w:rPr>
              <w:t>Contractual financial liabilities</w:t>
            </w:r>
          </w:p>
        </w:tc>
        <w:tc>
          <w:tcPr>
            <w:tcW w:w="1557" w:type="dxa"/>
            <w:shd w:val="clear" w:color="000000" w:fill="D8D8D8"/>
            <w:vAlign w:val="bottom"/>
          </w:tcPr>
          <w:p w:rsidR="009C1080" w:rsidRPr="0064748F" w:rsidRDefault="009C1080" w:rsidP="00D74A18">
            <w:pPr>
              <w:rPr>
                <w:rFonts w:cs="Arial"/>
                <w:i/>
                <w:iCs/>
                <w:sz w:val="20"/>
                <w:szCs w:val="20"/>
              </w:rPr>
            </w:pPr>
            <w:r w:rsidRPr="0064748F">
              <w:rPr>
                <w:rFonts w:cs="Arial"/>
                <w:i/>
                <w:iCs/>
                <w:sz w:val="20"/>
                <w:szCs w:val="20"/>
              </w:rPr>
              <w:t> </w:t>
            </w:r>
          </w:p>
        </w:tc>
        <w:tc>
          <w:tcPr>
            <w:tcW w:w="1557" w:type="dxa"/>
            <w:shd w:val="clear" w:color="auto" w:fill="D9D9D9"/>
            <w:vAlign w:val="bottom"/>
          </w:tcPr>
          <w:p w:rsidR="009C1080" w:rsidRPr="0064748F" w:rsidRDefault="009C1080" w:rsidP="00D74A18">
            <w:pPr>
              <w:rPr>
                <w:rFonts w:cs="Arial"/>
                <w:i/>
                <w:iCs/>
                <w:sz w:val="20"/>
                <w:szCs w:val="20"/>
              </w:rPr>
            </w:pPr>
          </w:p>
        </w:tc>
        <w:tc>
          <w:tcPr>
            <w:tcW w:w="1332" w:type="dxa"/>
          </w:tcPr>
          <w:p w:rsidR="009C1080" w:rsidRPr="0064748F" w:rsidRDefault="009C1080" w:rsidP="00D74A18">
            <w:pPr>
              <w:rPr>
                <w:rFonts w:cs="Arial"/>
                <w:i/>
                <w:iCs/>
                <w:sz w:val="20"/>
                <w:szCs w:val="20"/>
              </w:rPr>
            </w:pPr>
          </w:p>
        </w:tc>
      </w:tr>
      <w:tr w:rsidR="009C1080" w:rsidRPr="0064748F" w:rsidTr="009C1080">
        <w:trPr>
          <w:trHeight w:val="232"/>
        </w:trPr>
        <w:tc>
          <w:tcPr>
            <w:tcW w:w="3790" w:type="dxa"/>
            <w:noWrap/>
            <w:vAlign w:val="bottom"/>
          </w:tcPr>
          <w:p w:rsidR="009C1080" w:rsidRPr="0064748F" w:rsidRDefault="009C1080" w:rsidP="00D74A18">
            <w:pPr>
              <w:rPr>
                <w:rFonts w:cs="Arial"/>
                <w:sz w:val="20"/>
                <w:szCs w:val="20"/>
              </w:rPr>
            </w:pPr>
            <w:r w:rsidRPr="0064748F">
              <w:rPr>
                <w:rFonts w:cs="Arial"/>
                <w:sz w:val="20"/>
                <w:szCs w:val="20"/>
              </w:rPr>
              <w:t>Payables</w:t>
            </w:r>
          </w:p>
        </w:tc>
        <w:tc>
          <w:tcPr>
            <w:tcW w:w="1557" w:type="dxa"/>
            <w:shd w:val="clear" w:color="000000" w:fill="D8D8D8"/>
            <w:noWrap/>
            <w:vAlign w:val="bottom"/>
          </w:tcPr>
          <w:p w:rsidR="009C1080" w:rsidRPr="0064748F" w:rsidRDefault="009C1080" w:rsidP="00D74A18">
            <w:pPr>
              <w:rPr>
                <w:rFonts w:cs="Arial"/>
                <w:sz w:val="20"/>
                <w:szCs w:val="20"/>
              </w:rPr>
            </w:pPr>
            <w:r w:rsidRPr="0064748F">
              <w:rPr>
                <w:rFonts w:cs="Arial"/>
                <w:sz w:val="20"/>
                <w:szCs w:val="20"/>
              </w:rPr>
              <w:t> </w:t>
            </w:r>
          </w:p>
        </w:tc>
        <w:tc>
          <w:tcPr>
            <w:tcW w:w="1557" w:type="dxa"/>
            <w:shd w:val="clear" w:color="auto" w:fill="D9D9D9"/>
            <w:noWrap/>
            <w:vAlign w:val="bottom"/>
          </w:tcPr>
          <w:p w:rsidR="009C1080" w:rsidRPr="0064748F" w:rsidRDefault="009C1080" w:rsidP="00D74A18">
            <w:pPr>
              <w:rPr>
                <w:rFonts w:cs="Arial"/>
                <w:sz w:val="20"/>
                <w:szCs w:val="20"/>
              </w:rPr>
            </w:pPr>
          </w:p>
        </w:tc>
        <w:tc>
          <w:tcPr>
            <w:tcW w:w="1332" w:type="dxa"/>
            <w:noWrap/>
            <w:vAlign w:val="bottom"/>
          </w:tcPr>
          <w:p w:rsidR="009C1080" w:rsidRPr="0064748F" w:rsidRDefault="009C1080" w:rsidP="00D74A18">
            <w:pPr>
              <w:rPr>
                <w:rFonts w:cs="Arial"/>
                <w:sz w:val="20"/>
                <w:szCs w:val="20"/>
              </w:rPr>
            </w:pPr>
          </w:p>
        </w:tc>
      </w:tr>
      <w:tr w:rsidR="009C1080" w:rsidRPr="0064748F" w:rsidTr="009C1080">
        <w:trPr>
          <w:trHeight w:val="232"/>
        </w:trPr>
        <w:tc>
          <w:tcPr>
            <w:tcW w:w="3790" w:type="dxa"/>
            <w:noWrap/>
            <w:vAlign w:val="bottom"/>
          </w:tcPr>
          <w:p w:rsidR="009C1080" w:rsidRPr="0064748F" w:rsidRDefault="009C1080" w:rsidP="00D74A18">
            <w:pPr>
              <w:rPr>
                <w:rFonts w:cs="Arial"/>
                <w:sz w:val="20"/>
                <w:szCs w:val="20"/>
              </w:rPr>
            </w:pPr>
            <w:r w:rsidRPr="0064748F">
              <w:rPr>
                <w:rFonts w:cs="Arial"/>
                <w:sz w:val="20"/>
                <w:szCs w:val="20"/>
              </w:rPr>
              <w:t>Supplies and services</w:t>
            </w:r>
          </w:p>
        </w:tc>
        <w:tc>
          <w:tcPr>
            <w:tcW w:w="1557" w:type="dxa"/>
            <w:shd w:val="clear" w:color="000000" w:fill="D8D8D8"/>
            <w:noWrap/>
            <w:vAlign w:val="bottom"/>
          </w:tcPr>
          <w:p w:rsidR="009C1080" w:rsidRPr="0064748F" w:rsidRDefault="009C1080" w:rsidP="00D74A18">
            <w:pPr>
              <w:jc w:val="right"/>
              <w:rPr>
                <w:rFonts w:cs="Arial"/>
                <w:sz w:val="20"/>
                <w:szCs w:val="20"/>
              </w:rPr>
            </w:pPr>
            <w:r w:rsidRPr="0064748F">
              <w:rPr>
                <w:rFonts w:cs="Arial"/>
                <w:sz w:val="20"/>
                <w:szCs w:val="20"/>
              </w:rPr>
              <w:t>0</w:t>
            </w:r>
          </w:p>
        </w:tc>
        <w:tc>
          <w:tcPr>
            <w:tcW w:w="1557" w:type="dxa"/>
            <w:shd w:val="clear" w:color="auto" w:fill="D9D9D9"/>
            <w:noWrap/>
            <w:vAlign w:val="bottom"/>
          </w:tcPr>
          <w:p w:rsidR="009C1080" w:rsidRPr="0064748F" w:rsidRDefault="009C1080" w:rsidP="00D74A18">
            <w:pPr>
              <w:jc w:val="right"/>
              <w:rPr>
                <w:rFonts w:cs="Arial"/>
                <w:sz w:val="20"/>
                <w:szCs w:val="20"/>
              </w:rPr>
            </w:pPr>
            <w:r w:rsidRPr="0064748F">
              <w:rPr>
                <w:rFonts w:cs="Arial"/>
                <w:sz w:val="20"/>
                <w:szCs w:val="20"/>
              </w:rPr>
              <w:t>6,111</w:t>
            </w:r>
          </w:p>
        </w:tc>
        <w:tc>
          <w:tcPr>
            <w:tcW w:w="1332" w:type="dxa"/>
            <w:noWrap/>
            <w:vAlign w:val="bottom"/>
          </w:tcPr>
          <w:p w:rsidR="009C1080" w:rsidRPr="0064748F" w:rsidRDefault="009C1080" w:rsidP="00D74A18">
            <w:pPr>
              <w:jc w:val="right"/>
              <w:rPr>
                <w:rFonts w:cs="Arial"/>
                <w:sz w:val="20"/>
                <w:szCs w:val="20"/>
              </w:rPr>
            </w:pPr>
            <w:r w:rsidRPr="0064748F">
              <w:rPr>
                <w:rFonts w:cs="Arial"/>
                <w:sz w:val="20"/>
                <w:szCs w:val="20"/>
              </w:rPr>
              <w:t>6,111</w:t>
            </w:r>
          </w:p>
        </w:tc>
      </w:tr>
      <w:tr w:rsidR="009C1080" w:rsidRPr="0064748F" w:rsidTr="009C1080">
        <w:trPr>
          <w:trHeight w:val="232"/>
        </w:trPr>
        <w:tc>
          <w:tcPr>
            <w:tcW w:w="3790" w:type="dxa"/>
            <w:noWrap/>
            <w:vAlign w:val="bottom"/>
          </w:tcPr>
          <w:p w:rsidR="009C1080" w:rsidRPr="0064748F" w:rsidRDefault="009C1080" w:rsidP="00D74A18">
            <w:pPr>
              <w:rPr>
                <w:rFonts w:cs="Arial"/>
                <w:sz w:val="20"/>
                <w:szCs w:val="20"/>
              </w:rPr>
            </w:pPr>
            <w:r w:rsidRPr="0064748F">
              <w:rPr>
                <w:rFonts w:cs="Arial"/>
                <w:sz w:val="20"/>
                <w:szCs w:val="20"/>
              </w:rPr>
              <w:t>Borrowings</w:t>
            </w:r>
          </w:p>
        </w:tc>
        <w:tc>
          <w:tcPr>
            <w:tcW w:w="1557" w:type="dxa"/>
            <w:shd w:val="clear" w:color="000000" w:fill="D8D8D8"/>
            <w:noWrap/>
            <w:vAlign w:val="bottom"/>
          </w:tcPr>
          <w:p w:rsidR="009C1080" w:rsidRPr="0064748F" w:rsidRDefault="009C1080" w:rsidP="00D74A18">
            <w:pPr>
              <w:rPr>
                <w:rFonts w:cs="Arial"/>
                <w:sz w:val="20"/>
                <w:szCs w:val="20"/>
              </w:rPr>
            </w:pPr>
            <w:r w:rsidRPr="0064748F">
              <w:rPr>
                <w:rFonts w:cs="Arial"/>
                <w:sz w:val="20"/>
                <w:szCs w:val="20"/>
              </w:rPr>
              <w:t> </w:t>
            </w:r>
          </w:p>
        </w:tc>
        <w:tc>
          <w:tcPr>
            <w:tcW w:w="1557" w:type="dxa"/>
            <w:shd w:val="clear" w:color="auto" w:fill="D9D9D9"/>
            <w:noWrap/>
            <w:vAlign w:val="bottom"/>
          </w:tcPr>
          <w:p w:rsidR="009C1080" w:rsidRPr="0064748F" w:rsidRDefault="009C1080" w:rsidP="00D74A18">
            <w:pPr>
              <w:rPr>
                <w:rFonts w:cs="Arial"/>
                <w:sz w:val="20"/>
                <w:szCs w:val="20"/>
              </w:rPr>
            </w:pPr>
          </w:p>
        </w:tc>
        <w:tc>
          <w:tcPr>
            <w:tcW w:w="1332" w:type="dxa"/>
            <w:noWrap/>
            <w:vAlign w:val="bottom"/>
          </w:tcPr>
          <w:p w:rsidR="009C1080" w:rsidRPr="0064748F" w:rsidRDefault="009C1080" w:rsidP="00D74A18">
            <w:pPr>
              <w:rPr>
                <w:rFonts w:cs="Arial"/>
                <w:sz w:val="20"/>
                <w:szCs w:val="20"/>
              </w:rPr>
            </w:pPr>
          </w:p>
        </w:tc>
      </w:tr>
      <w:tr w:rsidR="009C1080" w:rsidRPr="0064748F" w:rsidTr="009C1080">
        <w:trPr>
          <w:trHeight w:val="232"/>
        </w:trPr>
        <w:tc>
          <w:tcPr>
            <w:tcW w:w="3790" w:type="dxa"/>
            <w:noWrap/>
            <w:vAlign w:val="bottom"/>
          </w:tcPr>
          <w:p w:rsidR="009C1080" w:rsidRPr="0064748F" w:rsidRDefault="009C1080" w:rsidP="00D74A18">
            <w:pPr>
              <w:rPr>
                <w:rFonts w:cs="Arial"/>
                <w:sz w:val="20"/>
                <w:szCs w:val="20"/>
              </w:rPr>
            </w:pPr>
            <w:r w:rsidRPr="0064748F">
              <w:rPr>
                <w:rFonts w:cs="Arial"/>
                <w:sz w:val="20"/>
                <w:szCs w:val="20"/>
              </w:rPr>
              <w:t>Lease liabilities</w:t>
            </w:r>
          </w:p>
        </w:tc>
        <w:tc>
          <w:tcPr>
            <w:tcW w:w="1557" w:type="dxa"/>
            <w:shd w:val="clear" w:color="000000" w:fill="D8D8D8"/>
            <w:noWrap/>
            <w:vAlign w:val="bottom"/>
          </w:tcPr>
          <w:p w:rsidR="009C1080" w:rsidRPr="0064748F" w:rsidRDefault="009C1080" w:rsidP="00D74A18">
            <w:pPr>
              <w:jc w:val="right"/>
              <w:rPr>
                <w:rFonts w:cs="Arial"/>
                <w:sz w:val="20"/>
                <w:szCs w:val="20"/>
              </w:rPr>
            </w:pPr>
            <w:r w:rsidRPr="0064748F">
              <w:rPr>
                <w:rFonts w:cs="Arial"/>
                <w:sz w:val="20"/>
                <w:szCs w:val="20"/>
              </w:rPr>
              <w:t>0</w:t>
            </w:r>
          </w:p>
        </w:tc>
        <w:tc>
          <w:tcPr>
            <w:tcW w:w="1557" w:type="dxa"/>
            <w:shd w:val="clear" w:color="auto" w:fill="D9D9D9"/>
            <w:noWrap/>
            <w:vAlign w:val="bottom"/>
          </w:tcPr>
          <w:p w:rsidR="009C1080" w:rsidRPr="0064748F" w:rsidRDefault="009C1080" w:rsidP="00D74A18">
            <w:pPr>
              <w:jc w:val="right"/>
              <w:rPr>
                <w:rFonts w:cs="Arial"/>
                <w:sz w:val="20"/>
                <w:szCs w:val="20"/>
              </w:rPr>
            </w:pPr>
            <w:r w:rsidRPr="0064748F">
              <w:rPr>
                <w:rFonts w:cs="Arial"/>
                <w:sz w:val="20"/>
                <w:szCs w:val="20"/>
              </w:rPr>
              <w:t>332</w:t>
            </w:r>
          </w:p>
        </w:tc>
        <w:tc>
          <w:tcPr>
            <w:tcW w:w="1332" w:type="dxa"/>
            <w:noWrap/>
            <w:vAlign w:val="bottom"/>
          </w:tcPr>
          <w:p w:rsidR="009C1080" w:rsidRPr="0064748F" w:rsidRDefault="009C1080" w:rsidP="00D74A18">
            <w:pPr>
              <w:jc w:val="right"/>
              <w:rPr>
                <w:rFonts w:cs="Arial"/>
                <w:sz w:val="20"/>
                <w:szCs w:val="20"/>
              </w:rPr>
            </w:pPr>
            <w:r w:rsidRPr="0064748F">
              <w:rPr>
                <w:rFonts w:cs="Arial"/>
                <w:sz w:val="20"/>
                <w:szCs w:val="20"/>
              </w:rPr>
              <w:t>332</w:t>
            </w:r>
          </w:p>
        </w:tc>
      </w:tr>
      <w:tr w:rsidR="009C1080" w:rsidRPr="0064748F" w:rsidTr="009C1080">
        <w:trPr>
          <w:trHeight w:val="248"/>
        </w:trPr>
        <w:tc>
          <w:tcPr>
            <w:tcW w:w="3790" w:type="dxa"/>
            <w:vAlign w:val="bottom"/>
          </w:tcPr>
          <w:p w:rsidR="009C1080" w:rsidRPr="0064748F" w:rsidRDefault="009C1080" w:rsidP="00D74A18">
            <w:pPr>
              <w:rPr>
                <w:rFonts w:cs="Arial"/>
                <w:b/>
                <w:bCs/>
                <w:sz w:val="20"/>
                <w:szCs w:val="20"/>
              </w:rPr>
            </w:pPr>
            <w:r w:rsidRPr="0064748F">
              <w:rPr>
                <w:rFonts w:cs="Arial"/>
                <w:b/>
                <w:bCs/>
                <w:sz w:val="20"/>
                <w:szCs w:val="20"/>
              </w:rPr>
              <w:t>Total contractual financial liabilities</w:t>
            </w:r>
          </w:p>
        </w:tc>
        <w:tc>
          <w:tcPr>
            <w:tcW w:w="1557" w:type="dxa"/>
            <w:shd w:val="clear" w:color="000000" w:fill="D8D8D8"/>
            <w:noWrap/>
            <w:vAlign w:val="bottom"/>
          </w:tcPr>
          <w:p w:rsidR="009C1080" w:rsidRPr="0064748F" w:rsidRDefault="009C1080" w:rsidP="00D74A18">
            <w:pPr>
              <w:jc w:val="right"/>
              <w:rPr>
                <w:rFonts w:cs="Arial"/>
                <w:sz w:val="20"/>
                <w:szCs w:val="20"/>
              </w:rPr>
            </w:pPr>
            <w:r w:rsidRPr="0064748F">
              <w:rPr>
                <w:rFonts w:cs="Arial"/>
                <w:sz w:val="20"/>
                <w:szCs w:val="20"/>
              </w:rPr>
              <w:t>0</w:t>
            </w:r>
          </w:p>
        </w:tc>
        <w:tc>
          <w:tcPr>
            <w:tcW w:w="1557" w:type="dxa"/>
            <w:shd w:val="clear" w:color="auto" w:fill="D9D9D9"/>
            <w:noWrap/>
            <w:vAlign w:val="bottom"/>
          </w:tcPr>
          <w:p w:rsidR="009C1080" w:rsidRPr="0064748F" w:rsidRDefault="009C1080" w:rsidP="00D74A18">
            <w:pPr>
              <w:jc w:val="right"/>
              <w:rPr>
                <w:rFonts w:cs="Arial"/>
                <w:sz w:val="20"/>
                <w:szCs w:val="20"/>
              </w:rPr>
            </w:pPr>
            <w:r w:rsidRPr="0064748F">
              <w:rPr>
                <w:rFonts w:cs="Arial"/>
                <w:sz w:val="20"/>
                <w:szCs w:val="20"/>
              </w:rPr>
              <w:t>6,443</w:t>
            </w:r>
          </w:p>
        </w:tc>
        <w:tc>
          <w:tcPr>
            <w:tcW w:w="1332" w:type="dxa"/>
            <w:noWrap/>
            <w:vAlign w:val="bottom"/>
          </w:tcPr>
          <w:p w:rsidR="009C1080" w:rsidRPr="0064748F" w:rsidRDefault="009C1080" w:rsidP="00D74A18">
            <w:pPr>
              <w:jc w:val="right"/>
              <w:rPr>
                <w:rFonts w:cs="Arial"/>
                <w:sz w:val="20"/>
                <w:szCs w:val="20"/>
              </w:rPr>
            </w:pPr>
            <w:r w:rsidRPr="0064748F">
              <w:rPr>
                <w:rFonts w:cs="Arial"/>
                <w:sz w:val="20"/>
                <w:szCs w:val="20"/>
              </w:rPr>
              <w:t>6,443</w:t>
            </w:r>
          </w:p>
        </w:tc>
      </w:tr>
      <w:tr w:rsidR="009C1080" w:rsidRPr="0064748F" w:rsidTr="009C1080">
        <w:trPr>
          <w:trHeight w:val="248"/>
        </w:trPr>
        <w:tc>
          <w:tcPr>
            <w:tcW w:w="3790" w:type="dxa"/>
            <w:vAlign w:val="bottom"/>
          </w:tcPr>
          <w:p w:rsidR="009C1080" w:rsidRPr="004901CD" w:rsidRDefault="009C1080" w:rsidP="009C1080">
            <w:pPr>
              <w:keepNext w:val="0"/>
              <w:ind w:left="567"/>
              <w:outlineLvl w:val="9"/>
              <w:rPr>
                <w:rFonts w:cs="Arial"/>
              </w:rPr>
            </w:pPr>
            <w:r w:rsidRPr="000C17EB">
              <w:rPr>
                <w:rFonts w:cs="Arial"/>
                <w:sz w:val="16"/>
                <w:szCs w:val="16"/>
              </w:rPr>
              <w:t>** The amount of receivables disclosed here excludes statutory amounts.</w:t>
            </w:r>
          </w:p>
          <w:p w:rsidR="009C1080" w:rsidRPr="0064748F" w:rsidRDefault="009C1080" w:rsidP="00D74A18">
            <w:pPr>
              <w:rPr>
                <w:rFonts w:cs="Arial"/>
                <w:b/>
                <w:bCs/>
                <w:sz w:val="20"/>
                <w:szCs w:val="20"/>
              </w:rPr>
            </w:pPr>
          </w:p>
        </w:tc>
        <w:tc>
          <w:tcPr>
            <w:tcW w:w="1557" w:type="dxa"/>
            <w:shd w:val="clear" w:color="000000" w:fill="D8D8D8"/>
            <w:noWrap/>
            <w:vAlign w:val="bottom"/>
          </w:tcPr>
          <w:p w:rsidR="009C1080" w:rsidRPr="0064748F" w:rsidRDefault="009C1080" w:rsidP="00D74A18">
            <w:pPr>
              <w:jc w:val="right"/>
              <w:rPr>
                <w:rFonts w:cs="Arial"/>
                <w:sz w:val="20"/>
                <w:szCs w:val="20"/>
              </w:rPr>
            </w:pPr>
          </w:p>
        </w:tc>
        <w:tc>
          <w:tcPr>
            <w:tcW w:w="1557" w:type="dxa"/>
            <w:shd w:val="clear" w:color="auto" w:fill="D9D9D9"/>
            <w:noWrap/>
            <w:vAlign w:val="bottom"/>
          </w:tcPr>
          <w:p w:rsidR="009C1080" w:rsidRPr="0064748F" w:rsidRDefault="009C1080" w:rsidP="00D74A18">
            <w:pPr>
              <w:jc w:val="right"/>
              <w:rPr>
                <w:rFonts w:cs="Arial"/>
                <w:sz w:val="20"/>
                <w:szCs w:val="20"/>
              </w:rPr>
            </w:pPr>
          </w:p>
        </w:tc>
        <w:tc>
          <w:tcPr>
            <w:tcW w:w="1332" w:type="dxa"/>
            <w:noWrap/>
            <w:vAlign w:val="bottom"/>
          </w:tcPr>
          <w:p w:rsidR="009C1080" w:rsidRPr="0064748F" w:rsidRDefault="009C1080" w:rsidP="00D74A18">
            <w:pPr>
              <w:jc w:val="right"/>
              <w:rPr>
                <w:rFonts w:cs="Arial"/>
                <w:sz w:val="20"/>
                <w:szCs w:val="20"/>
              </w:rPr>
            </w:pPr>
          </w:p>
        </w:tc>
      </w:tr>
    </w:tbl>
    <w:p w:rsidR="00B83890" w:rsidRDefault="00B83890" w:rsidP="00B83890">
      <w:pPr>
        <w:pStyle w:val="Heading2"/>
        <w:tabs>
          <w:tab w:val="left" w:pos="426"/>
        </w:tabs>
        <w:spacing w:before="120"/>
        <w:rPr>
          <w:rFonts w:cs="Arial"/>
          <w:b w:val="0"/>
          <w:sz w:val="22"/>
          <w:szCs w:val="22"/>
        </w:rPr>
      </w:pPr>
    </w:p>
    <w:p w:rsidR="009C1080" w:rsidRDefault="009C1080" w:rsidP="009C1080"/>
    <w:p w:rsidR="009C1080" w:rsidRPr="009C1080" w:rsidRDefault="009C1080" w:rsidP="009C1080"/>
    <w:p w:rsidR="00B83890" w:rsidRDefault="009C1080" w:rsidP="00B83890">
      <w:pPr>
        <w:rPr>
          <w:b/>
        </w:rPr>
      </w:pPr>
      <w:r>
        <w:rPr>
          <w:b/>
        </w:rPr>
        <w:t>19 FINANCIAL INSTRUMENTS (CONT’D)</w:t>
      </w:r>
    </w:p>
    <w:p w:rsidR="002F6ECA" w:rsidRDefault="002F6ECA" w:rsidP="0099724A">
      <w:pPr>
        <w:pStyle w:val="Heading5"/>
      </w:pPr>
    </w:p>
    <w:p w:rsidR="00B83890" w:rsidRPr="00D605F7" w:rsidRDefault="00B83890" w:rsidP="002F6ECA">
      <w:pPr>
        <w:pStyle w:val="Heading4"/>
      </w:pPr>
      <w:r>
        <w:t>(c)  Credit Risk</w:t>
      </w:r>
      <w:r w:rsidRPr="00D605F7">
        <w:tab/>
      </w:r>
    </w:p>
    <w:p w:rsidR="00B83890" w:rsidRPr="007B252F" w:rsidRDefault="00B83890" w:rsidP="00B83890"/>
    <w:p w:rsidR="00B83890" w:rsidRPr="001332E4" w:rsidRDefault="00B83890" w:rsidP="00B83890">
      <w:r w:rsidRPr="001332E4">
        <w:t xml:space="preserve">Credit risk arises from the </w:t>
      </w:r>
      <w:r>
        <w:t xml:space="preserve">contractual </w:t>
      </w:r>
      <w:r w:rsidRPr="001332E4">
        <w:t xml:space="preserve">financial assets of the </w:t>
      </w:r>
      <w:r>
        <w:t>entity</w:t>
      </w:r>
      <w:r w:rsidRPr="001332E4">
        <w:t xml:space="preserve">, which comprise cash and cash equivalents, </w:t>
      </w:r>
      <w:r>
        <w:t xml:space="preserve">and </w:t>
      </w:r>
      <w:r w:rsidRPr="001332E4">
        <w:t>trade and other receivables</w:t>
      </w:r>
      <w:r>
        <w:t>.</w:t>
      </w:r>
      <w:r w:rsidRPr="001332E4">
        <w:t xml:space="preserve"> The </w:t>
      </w:r>
      <w:r>
        <w:t>entity</w:t>
      </w:r>
      <w:r w:rsidRPr="001332E4">
        <w:t xml:space="preserve">’s exposure to credit risk arises from the potential default of </w:t>
      </w:r>
      <w:r>
        <w:t xml:space="preserve">the </w:t>
      </w:r>
      <w:r w:rsidRPr="001332E4">
        <w:t xml:space="preserve">counter party on their contractual obligations resulting in financial loss to the </w:t>
      </w:r>
      <w:r>
        <w:t>entity</w:t>
      </w:r>
      <w:r w:rsidRPr="001332E4">
        <w:t>. Credit risk is measured at fair value and is monitored on a regular basis.</w:t>
      </w:r>
    </w:p>
    <w:p w:rsidR="00B83890" w:rsidRDefault="00B83890" w:rsidP="00B83890"/>
    <w:p w:rsidR="00B83890" w:rsidRDefault="00B83890" w:rsidP="00B83890">
      <w:pPr>
        <w:rPr>
          <w:rFonts w:cs="Arial"/>
        </w:rPr>
      </w:pPr>
      <w:r w:rsidRPr="007B252F">
        <w:t xml:space="preserve">The </w:t>
      </w:r>
      <w:r>
        <w:t xml:space="preserve">maximum exposure to </w:t>
      </w:r>
      <w:r w:rsidRPr="007B252F">
        <w:t xml:space="preserve">credit risk on financial assets which have been recognised on the </w:t>
      </w:r>
      <w:r>
        <w:t>Balance Sheet</w:t>
      </w:r>
      <w:r w:rsidRPr="007B252F">
        <w:t xml:space="preserve"> is the carrying amount, net of any provisions for doubtful debts</w:t>
      </w:r>
      <w:r>
        <w:t>,</w:t>
      </w:r>
      <w:r w:rsidRPr="0061129E">
        <w:t xml:space="preserve"> </w:t>
      </w:r>
      <w:r w:rsidRPr="0061129E">
        <w:rPr>
          <w:rFonts w:cs="Arial"/>
        </w:rPr>
        <w:t>without taking</w:t>
      </w:r>
      <w:r>
        <w:rPr>
          <w:rFonts w:cs="Arial"/>
        </w:rPr>
        <w:t xml:space="preserve"> into</w:t>
      </w:r>
      <w:r w:rsidRPr="0061129E">
        <w:rPr>
          <w:rFonts w:cs="Arial"/>
        </w:rPr>
        <w:t xml:space="preserve"> account of the value of any collateral obtained</w:t>
      </w:r>
      <w:r>
        <w:rPr>
          <w:rFonts w:cs="Arial"/>
        </w:rPr>
        <w:t>. The entity follows a process of reviewing all trade debtors during the year to identify doubtful debts or other possible impairments.</w:t>
      </w:r>
    </w:p>
    <w:p w:rsidR="00B83890" w:rsidRDefault="00B83890" w:rsidP="00B83890"/>
    <w:p w:rsidR="009C1080" w:rsidRDefault="009C1080" w:rsidP="00B83890"/>
    <w:p w:rsidR="009C1080" w:rsidRDefault="009C1080" w:rsidP="009C1080">
      <w:pPr>
        <w:rPr>
          <w:b/>
        </w:rPr>
      </w:pPr>
      <w:r>
        <w:rPr>
          <w:b/>
        </w:rPr>
        <w:t>19 FINANCIAL INSTRUMENTS (CONT’D)</w:t>
      </w:r>
    </w:p>
    <w:p w:rsidR="009C1080" w:rsidRDefault="009C1080" w:rsidP="00B83890"/>
    <w:p w:rsidR="009C1080" w:rsidRPr="007B252F" w:rsidRDefault="009C1080" w:rsidP="009C1080">
      <w:pPr>
        <w:rPr>
          <w:b/>
        </w:rPr>
      </w:pPr>
      <w:r w:rsidRPr="007B252F">
        <w:rPr>
          <w:b/>
        </w:rPr>
        <w:t>(</w:t>
      </w:r>
      <w:r>
        <w:rPr>
          <w:b/>
        </w:rPr>
        <w:t>c</w:t>
      </w:r>
      <w:r w:rsidRPr="007B252F">
        <w:rPr>
          <w:b/>
        </w:rPr>
        <w:t xml:space="preserve">) </w:t>
      </w:r>
      <w:r>
        <w:rPr>
          <w:b/>
        </w:rPr>
        <w:t>Credit Risk</w:t>
      </w:r>
      <w:r w:rsidRPr="007B252F">
        <w:rPr>
          <w:b/>
        </w:rPr>
        <w:t xml:space="preserve"> </w:t>
      </w:r>
      <w:r w:rsidRPr="00706E61">
        <w:rPr>
          <w:b/>
        </w:rPr>
        <w:t>(cont</w:t>
      </w:r>
      <w:r>
        <w:rPr>
          <w:b/>
        </w:rPr>
        <w:t>’</w:t>
      </w:r>
      <w:r w:rsidRPr="00706E61">
        <w:rPr>
          <w:b/>
        </w:rPr>
        <w:t>d)</w:t>
      </w:r>
    </w:p>
    <w:p w:rsidR="009C1080" w:rsidRDefault="009C1080" w:rsidP="00B83890"/>
    <w:p w:rsidR="00B83890" w:rsidRDefault="00B83890" w:rsidP="00B83890">
      <w:r w:rsidRPr="008015C8">
        <w:t xml:space="preserve">Currently </w:t>
      </w:r>
      <w:r>
        <w:t>Museum Victoria</w:t>
      </w:r>
      <w:r w:rsidRPr="008015C8">
        <w:t xml:space="preserve"> does not hold any collateral as security nor credit enhancements relating to any of its financial assets.</w:t>
      </w:r>
    </w:p>
    <w:p w:rsidR="00B83890" w:rsidRDefault="00B83890" w:rsidP="00B83890">
      <w:pPr>
        <w:rPr>
          <w:rFonts w:cs="Arial"/>
        </w:rPr>
      </w:pPr>
    </w:p>
    <w:p w:rsidR="00B83890" w:rsidRDefault="00B83890" w:rsidP="00B83890">
      <w:pPr>
        <w:rPr>
          <w:rFonts w:cs="Arial"/>
        </w:rPr>
      </w:pPr>
      <w:r w:rsidRPr="006B10CC">
        <w:rPr>
          <w:rFonts w:cs="Arial"/>
        </w:rPr>
        <w:t>There are no financial assets that have had their terms renegotiated so as to prevent them from being past due or impaired, and they are stated at the carrying amounts as indicated.</w:t>
      </w:r>
    </w:p>
    <w:p w:rsidR="00B83890" w:rsidRDefault="00B83890" w:rsidP="00B83890">
      <w:pPr>
        <w:rPr>
          <w:rFonts w:cs="Arial"/>
        </w:rPr>
      </w:pPr>
    </w:p>
    <w:p w:rsidR="00B83890" w:rsidRDefault="00B83890" w:rsidP="00B83890">
      <w:pPr>
        <w:rPr>
          <w:rFonts w:cs="Arial"/>
        </w:rPr>
      </w:pPr>
      <w:r>
        <w:rPr>
          <w:rFonts w:cs="Arial"/>
          <w:b/>
        </w:rPr>
        <w:t>A</w:t>
      </w:r>
      <w:r w:rsidRPr="00062DC3">
        <w:rPr>
          <w:rFonts w:cs="Arial"/>
          <w:b/>
        </w:rPr>
        <w:t xml:space="preserve">geing analysis of </w:t>
      </w:r>
      <w:r>
        <w:rPr>
          <w:rFonts w:cs="Arial"/>
          <w:b/>
        </w:rPr>
        <w:t xml:space="preserve">contractual </w:t>
      </w:r>
      <w:r w:rsidRPr="00062DC3">
        <w:rPr>
          <w:rFonts w:cs="Arial"/>
          <w:b/>
        </w:rPr>
        <w:t>financial assets</w:t>
      </w:r>
    </w:p>
    <w:p w:rsidR="00B83890" w:rsidRDefault="00B83890" w:rsidP="00B83890"/>
    <w:p w:rsidR="00B83890" w:rsidRDefault="00B83890" w:rsidP="00B83890"/>
    <w:tbl>
      <w:tblPr>
        <w:tblW w:w="9373" w:type="dxa"/>
        <w:tblInd w:w="93" w:type="dxa"/>
        <w:tblLook w:val="00A0" w:firstRow="1" w:lastRow="0" w:firstColumn="1" w:lastColumn="0" w:noHBand="0" w:noVBand="0"/>
        <w:tblCaption w:val="Financial Instruments: Credit Risk"/>
        <w:tblDescription w:val="This table shows the Ageing analysis of contractual financial assets for 2012–13 with comparison to 2011–12."/>
      </w:tblPr>
      <w:tblGrid>
        <w:gridCol w:w="4320"/>
        <w:gridCol w:w="960"/>
        <w:gridCol w:w="980"/>
        <w:gridCol w:w="1260"/>
        <w:gridCol w:w="1000"/>
        <w:gridCol w:w="917"/>
      </w:tblGrid>
      <w:tr w:rsidR="00B83890" w:rsidRPr="0064748F" w:rsidTr="006E6DC8">
        <w:trPr>
          <w:trHeight w:val="225"/>
        </w:trPr>
        <w:tc>
          <w:tcPr>
            <w:tcW w:w="4320" w:type="dxa"/>
            <w:tcBorders>
              <w:top w:val="nil"/>
              <w:left w:val="nil"/>
              <w:bottom w:val="single" w:sz="4" w:space="0" w:color="auto"/>
              <w:right w:val="nil"/>
            </w:tcBorders>
            <w:noWrap/>
            <w:vAlign w:val="bottom"/>
          </w:tcPr>
          <w:p w:rsidR="00B83890" w:rsidRPr="0064748F" w:rsidRDefault="00B83890" w:rsidP="006E6DC8">
            <w:pPr>
              <w:rPr>
                <w:rFonts w:cs="Arial"/>
                <w:b/>
                <w:bCs/>
                <w:sz w:val="18"/>
                <w:szCs w:val="18"/>
              </w:rPr>
            </w:pPr>
          </w:p>
        </w:tc>
        <w:tc>
          <w:tcPr>
            <w:tcW w:w="960" w:type="dxa"/>
            <w:tcBorders>
              <w:top w:val="nil"/>
              <w:left w:val="nil"/>
              <w:bottom w:val="single" w:sz="4" w:space="0" w:color="auto"/>
              <w:right w:val="nil"/>
            </w:tcBorders>
            <w:noWrap/>
            <w:vAlign w:val="bottom"/>
          </w:tcPr>
          <w:p w:rsidR="00B83890" w:rsidRPr="0064748F" w:rsidRDefault="00B83890" w:rsidP="006E6DC8">
            <w:pPr>
              <w:rPr>
                <w:rFonts w:cs="Arial"/>
                <w:sz w:val="18"/>
                <w:szCs w:val="18"/>
              </w:rPr>
            </w:pPr>
            <w:r w:rsidRPr="0064748F">
              <w:rPr>
                <w:rFonts w:cs="Arial"/>
                <w:sz w:val="18"/>
                <w:szCs w:val="18"/>
              </w:rPr>
              <w:t> </w:t>
            </w:r>
          </w:p>
        </w:tc>
        <w:tc>
          <w:tcPr>
            <w:tcW w:w="980" w:type="dxa"/>
            <w:tcBorders>
              <w:top w:val="nil"/>
              <w:left w:val="nil"/>
              <w:bottom w:val="single" w:sz="4" w:space="0" w:color="auto"/>
              <w:right w:val="nil"/>
            </w:tcBorders>
            <w:noWrap/>
            <w:vAlign w:val="bottom"/>
          </w:tcPr>
          <w:p w:rsidR="00B83890" w:rsidRPr="0064748F" w:rsidRDefault="00B83890" w:rsidP="006E6DC8">
            <w:pPr>
              <w:rPr>
                <w:rFonts w:cs="Arial"/>
                <w:sz w:val="18"/>
                <w:szCs w:val="18"/>
              </w:rPr>
            </w:pPr>
            <w:r w:rsidRPr="0064748F">
              <w:rPr>
                <w:rFonts w:cs="Arial"/>
                <w:sz w:val="18"/>
                <w:szCs w:val="18"/>
              </w:rPr>
              <w:t> </w:t>
            </w:r>
          </w:p>
        </w:tc>
        <w:tc>
          <w:tcPr>
            <w:tcW w:w="1260" w:type="dxa"/>
            <w:tcBorders>
              <w:top w:val="nil"/>
              <w:left w:val="nil"/>
              <w:bottom w:val="single" w:sz="4" w:space="0" w:color="auto"/>
              <w:right w:val="nil"/>
            </w:tcBorders>
            <w:noWrap/>
            <w:vAlign w:val="bottom"/>
          </w:tcPr>
          <w:p w:rsidR="00B83890" w:rsidRPr="0064748F" w:rsidRDefault="00B83890" w:rsidP="006E6DC8">
            <w:pPr>
              <w:rPr>
                <w:rFonts w:cs="Arial"/>
                <w:b/>
                <w:bCs/>
                <w:i/>
                <w:iCs/>
                <w:sz w:val="18"/>
                <w:szCs w:val="18"/>
              </w:rPr>
            </w:pPr>
            <w:r w:rsidRPr="0064748F">
              <w:rPr>
                <w:rFonts w:cs="Arial"/>
                <w:b/>
                <w:bCs/>
                <w:i/>
                <w:iCs/>
                <w:sz w:val="18"/>
                <w:szCs w:val="18"/>
              </w:rPr>
              <w:t> </w:t>
            </w:r>
          </w:p>
        </w:tc>
        <w:tc>
          <w:tcPr>
            <w:tcW w:w="1000" w:type="dxa"/>
            <w:tcBorders>
              <w:top w:val="nil"/>
              <w:left w:val="nil"/>
              <w:bottom w:val="single" w:sz="4" w:space="0" w:color="auto"/>
              <w:right w:val="nil"/>
            </w:tcBorders>
            <w:noWrap/>
            <w:vAlign w:val="bottom"/>
          </w:tcPr>
          <w:p w:rsidR="00B83890" w:rsidRPr="0064748F" w:rsidRDefault="00B83890" w:rsidP="006E6DC8">
            <w:pPr>
              <w:rPr>
                <w:rFonts w:cs="Arial"/>
                <w:sz w:val="18"/>
                <w:szCs w:val="18"/>
              </w:rPr>
            </w:pPr>
            <w:r w:rsidRPr="0064748F">
              <w:rPr>
                <w:rFonts w:cs="Arial"/>
                <w:sz w:val="18"/>
                <w:szCs w:val="18"/>
              </w:rPr>
              <w:t> </w:t>
            </w:r>
          </w:p>
        </w:tc>
        <w:tc>
          <w:tcPr>
            <w:tcW w:w="853" w:type="dxa"/>
            <w:tcBorders>
              <w:top w:val="nil"/>
              <w:left w:val="nil"/>
              <w:bottom w:val="single" w:sz="4" w:space="0" w:color="auto"/>
              <w:right w:val="nil"/>
            </w:tcBorders>
            <w:noWrap/>
            <w:vAlign w:val="bottom"/>
          </w:tcPr>
          <w:p w:rsidR="00B83890" w:rsidRPr="0064748F" w:rsidRDefault="00B83890" w:rsidP="006E6DC8">
            <w:pPr>
              <w:jc w:val="right"/>
              <w:rPr>
                <w:rFonts w:cs="Arial"/>
                <w:b/>
                <w:bCs/>
                <w:i/>
                <w:iCs/>
                <w:sz w:val="18"/>
                <w:szCs w:val="18"/>
              </w:rPr>
            </w:pPr>
            <w:r w:rsidRPr="0064748F">
              <w:rPr>
                <w:rFonts w:cs="Arial"/>
                <w:b/>
                <w:bCs/>
                <w:i/>
                <w:iCs/>
                <w:sz w:val="18"/>
                <w:szCs w:val="18"/>
              </w:rPr>
              <w:t>$ '000</w:t>
            </w:r>
          </w:p>
        </w:tc>
      </w:tr>
      <w:tr w:rsidR="00B83890" w:rsidRPr="0064748F" w:rsidTr="006E6DC8">
        <w:trPr>
          <w:trHeight w:val="660"/>
        </w:trPr>
        <w:tc>
          <w:tcPr>
            <w:tcW w:w="4320" w:type="dxa"/>
            <w:tcBorders>
              <w:top w:val="nil"/>
              <w:left w:val="nil"/>
              <w:bottom w:val="nil"/>
              <w:right w:val="nil"/>
            </w:tcBorders>
            <w:noWrap/>
            <w:vAlign w:val="bottom"/>
          </w:tcPr>
          <w:p w:rsidR="00B83890" w:rsidRPr="0064748F" w:rsidRDefault="00B83890" w:rsidP="006E6DC8">
            <w:pPr>
              <w:rPr>
                <w:rFonts w:cs="Arial"/>
                <w:b/>
                <w:bCs/>
                <w:sz w:val="18"/>
                <w:szCs w:val="18"/>
              </w:rPr>
            </w:pPr>
            <w:r w:rsidRPr="0064748F">
              <w:rPr>
                <w:rFonts w:cs="Arial"/>
                <w:b/>
                <w:bCs/>
                <w:sz w:val="18"/>
                <w:szCs w:val="18"/>
              </w:rPr>
              <w:t> </w:t>
            </w:r>
          </w:p>
        </w:tc>
        <w:tc>
          <w:tcPr>
            <w:tcW w:w="960" w:type="dxa"/>
            <w:tcBorders>
              <w:top w:val="nil"/>
              <w:left w:val="nil"/>
              <w:bottom w:val="nil"/>
              <w:right w:val="nil"/>
            </w:tcBorders>
            <w:shd w:val="clear" w:color="000000" w:fill="D8D8D8"/>
          </w:tcPr>
          <w:p w:rsidR="00B83890" w:rsidRPr="0064748F" w:rsidRDefault="00B83890" w:rsidP="006E6DC8">
            <w:pPr>
              <w:jc w:val="right"/>
              <w:rPr>
                <w:rFonts w:cs="Arial"/>
                <w:sz w:val="18"/>
                <w:szCs w:val="18"/>
              </w:rPr>
            </w:pPr>
            <w:r w:rsidRPr="0064748F">
              <w:rPr>
                <w:rFonts w:cs="Arial"/>
                <w:sz w:val="18"/>
                <w:szCs w:val="18"/>
              </w:rPr>
              <w:t>Carrying amount</w:t>
            </w:r>
          </w:p>
        </w:tc>
        <w:tc>
          <w:tcPr>
            <w:tcW w:w="980" w:type="dxa"/>
            <w:tcBorders>
              <w:top w:val="nil"/>
              <w:left w:val="nil"/>
              <w:bottom w:val="nil"/>
              <w:right w:val="nil"/>
            </w:tcBorders>
          </w:tcPr>
          <w:p w:rsidR="00B83890" w:rsidRPr="0064748F" w:rsidRDefault="00B83890" w:rsidP="006E6DC8">
            <w:pPr>
              <w:rPr>
                <w:rFonts w:cs="Arial"/>
                <w:sz w:val="18"/>
                <w:szCs w:val="18"/>
              </w:rPr>
            </w:pPr>
            <w:r w:rsidRPr="0064748F">
              <w:rPr>
                <w:rFonts w:cs="Arial"/>
                <w:sz w:val="18"/>
                <w:szCs w:val="18"/>
              </w:rPr>
              <w:t>Not past due and not impaired</w:t>
            </w:r>
          </w:p>
        </w:tc>
        <w:tc>
          <w:tcPr>
            <w:tcW w:w="2260" w:type="dxa"/>
            <w:gridSpan w:val="2"/>
            <w:tcBorders>
              <w:top w:val="single" w:sz="4" w:space="0" w:color="auto"/>
              <w:left w:val="nil"/>
              <w:bottom w:val="single" w:sz="4" w:space="0" w:color="auto"/>
              <w:right w:val="nil"/>
            </w:tcBorders>
            <w:noWrap/>
          </w:tcPr>
          <w:p w:rsidR="00B83890" w:rsidRPr="0064748F" w:rsidRDefault="00B83890" w:rsidP="006E6DC8">
            <w:pPr>
              <w:jc w:val="center"/>
              <w:rPr>
                <w:rFonts w:cs="Arial"/>
                <w:sz w:val="18"/>
                <w:szCs w:val="18"/>
              </w:rPr>
            </w:pPr>
            <w:r w:rsidRPr="0064748F">
              <w:rPr>
                <w:rFonts w:cs="Arial"/>
                <w:sz w:val="18"/>
                <w:szCs w:val="18"/>
              </w:rPr>
              <w:t>Past due but not impaired</w:t>
            </w:r>
          </w:p>
        </w:tc>
        <w:tc>
          <w:tcPr>
            <w:tcW w:w="853" w:type="dxa"/>
            <w:tcBorders>
              <w:top w:val="nil"/>
              <w:left w:val="nil"/>
              <w:bottom w:val="single" w:sz="4" w:space="0" w:color="auto"/>
              <w:right w:val="nil"/>
            </w:tcBorders>
            <w:shd w:val="clear" w:color="000000" w:fill="D8D8D8"/>
            <w:vAlign w:val="bottom"/>
          </w:tcPr>
          <w:p w:rsidR="00B83890" w:rsidRPr="0064748F" w:rsidRDefault="00B83890" w:rsidP="006E6DC8">
            <w:pPr>
              <w:rPr>
                <w:rFonts w:cs="Arial"/>
                <w:sz w:val="18"/>
                <w:szCs w:val="18"/>
              </w:rPr>
            </w:pPr>
            <w:r w:rsidRPr="0064748F">
              <w:rPr>
                <w:rFonts w:cs="Arial"/>
                <w:sz w:val="18"/>
                <w:szCs w:val="18"/>
              </w:rPr>
              <w:t>Impaired financial assets</w:t>
            </w:r>
          </w:p>
        </w:tc>
      </w:tr>
      <w:tr w:rsidR="00B83890" w:rsidRPr="0064748F" w:rsidTr="006E6DC8">
        <w:trPr>
          <w:trHeight w:val="450"/>
        </w:trPr>
        <w:tc>
          <w:tcPr>
            <w:tcW w:w="4320" w:type="dxa"/>
            <w:tcBorders>
              <w:top w:val="nil"/>
              <w:left w:val="nil"/>
              <w:bottom w:val="single" w:sz="4" w:space="0" w:color="auto"/>
              <w:right w:val="nil"/>
            </w:tcBorders>
            <w:noWrap/>
            <w:vAlign w:val="bottom"/>
          </w:tcPr>
          <w:p w:rsidR="00B83890" w:rsidRPr="0064748F" w:rsidRDefault="00B83890" w:rsidP="006E6DC8">
            <w:pPr>
              <w:rPr>
                <w:rFonts w:cs="Arial"/>
                <w:sz w:val="18"/>
                <w:szCs w:val="18"/>
              </w:rPr>
            </w:pPr>
            <w:r w:rsidRPr="0064748F">
              <w:rPr>
                <w:rFonts w:cs="Arial"/>
                <w:sz w:val="18"/>
                <w:szCs w:val="18"/>
              </w:rPr>
              <w:t> </w:t>
            </w:r>
          </w:p>
        </w:tc>
        <w:tc>
          <w:tcPr>
            <w:tcW w:w="960" w:type="dxa"/>
            <w:tcBorders>
              <w:top w:val="nil"/>
              <w:left w:val="nil"/>
              <w:bottom w:val="single" w:sz="4" w:space="0" w:color="auto"/>
              <w:right w:val="nil"/>
            </w:tcBorders>
            <w:shd w:val="clear" w:color="000000" w:fill="D8D8D8"/>
          </w:tcPr>
          <w:p w:rsidR="00B83890" w:rsidRPr="0064748F" w:rsidRDefault="00B83890" w:rsidP="006E6DC8">
            <w:pPr>
              <w:rPr>
                <w:rFonts w:cs="Arial"/>
                <w:sz w:val="18"/>
                <w:szCs w:val="18"/>
              </w:rPr>
            </w:pPr>
            <w:r w:rsidRPr="0064748F">
              <w:rPr>
                <w:rFonts w:cs="Arial"/>
                <w:sz w:val="18"/>
                <w:szCs w:val="18"/>
              </w:rPr>
              <w:t> </w:t>
            </w:r>
          </w:p>
        </w:tc>
        <w:tc>
          <w:tcPr>
            <w:tcW w:w="980" w:type="dxa"/>
            <w:tcBorders>
              <w:top w:val="nil"/>
              <w:left w:val="nil"/>
              <w:bottom w:val="single" w:sz="4" w:space="0" w:color="auto"/>
              <w:right w:val="nil"/>
            </w:tcBorders>
          </w:tcPr>
          <w:p w:rsidR="00B83890" w:rsidRPr="0064748F" w:rsidRDefault="00B83890" w:rsidP="006E6DC8">
            <w:pPr>
              <w:rPr>
                <w:rFonts w:cs="Arial"/>
                <w:sz w:val="18"/>
                <w:szCs w:val="18"/>
              </w:rPr>
            </w:pPr>
            <w:r w:rsidRPr="0064748F">
              <w:rPr>
                <w:rFonts w:cs="Arial"/>
                <w:sz w:val="18"/>
                <w:szCs w:val="18"/>
              </w:rPr>
              <w:t> </w:t>
            </w:r>
          </w:p>
        </w:tc>
        <w:tc>
          <w:tcPr>
            <w:tcW w:w="1260" w:type="dxa"/>
            <w:tcBorders>
              <w:top w:val="nil"/>
              <w:left w:val="nil"/>
              <w:bottom w:val="single" w:sz="4" w:space="0" w:color="auto"/>
              <w:right w:val="nil"/>
            </w:tcBorders>
            <w:shd w:val="clear" w:color="000000" w:fill="D8D8D8"/>
          </w:tcPr>
          <w:p w:rsidR="00B83890" w:rsidRPr="0064748F" w:rsidRDefault="00B83890" w:rsidP="006E6DC8">
            <w:pPr>
              <w:rPr>
                <w:rFonts w:cs="Arial"/>
                <w:sz w:val="18"/>
                <w:szCs w:val="18"/>
              </w:rPr>
            </w:pPr>
            <w:r w:rsidRPr="0064748F">
              <w:rPr>
                <w:rFonts w:cs="Arial"/>
                <w:sz w:val="18"/>
                <w:szCs w:val="18"/>
              </w:rPr>
              <w:t>less than 1 year</w:t>
            </w:r>
          </w:p>
        </w:tc>
        <w:tc>
          <w:tcPr>
            <w:tcW w:w="1000" w:type="dxa"/>
            <w:tcBorders>
              <w:top w:val="nil"/>
              <w:left w:val="nil"/>
              <w:bottom w:val="single" w:sz="4" w:space="0" w:color="auto"/>
              <w:right w:val="nil"/>
            </w:tcBorders>
          </w:tcPr>
          <w:p w:rsidR="00B83890" w:rsidRPr="0064748F" w:rsidRDefault="00B83890" w:rsidP="006E6DC8">
            <w:pPr>
              <w:rPr>
                <w:rFonts w:cs="Arial"/>
                <w:sz w:val="18"/>
                <w:szCs w:val="18"/>
              </w:rPr>
            </w:pPr>
            <w:r w:rsidRPr="0064748F">
              <w:rPr>
                <w:rFonts w:cs="Arial"/>
                <w:sz w:val="18"/>
                <w:szCs w:val="18"/>
              </w:rPr>
              <w:t>1 - 5 years</w:t>
            </w:r>
          </w:p>
        </w:tc>
        <w:tc>
          <w:tcPr>
            <w:tcW w:w="853" w:type="dxa"/>
            <w:tcBorders>
              <w:top w:val="nil"/>
              <w:left w:val="nil"/>
              <w:bottom w:val="single" w:sz="4" w:space="0" w:color="auto"/>
              <w:right w:val="nil"/>
            </w:tcBorders>
            <w:shd w:val="clear" w:color="000000" w:fill="D8D8D8"/>
            <w:noWrap/>
            <w:vAlign w:val="bottom"/>
          </w:tcPr>
          <w:p w:rsidR="00B83890" w:rsidRPr="0064748F" w:rsidRDefault="00B83890" w:rsidP="006E6DC8">
            <w:pPr>
              <w:rPr>
                <w:rFonts w:cs="Arial"/>
                <w:sz w:val="18"/>
                <w:szCs w:val="18"/>
              </w:rPr>
            </w:pPr>
            <w:r w:rsidRPr="0064748F">
              <w:rPr>
                <w:rFonts w:cs="Arial"/>
                <w:sz w:val="18"/>
                <w:szCs w:val="18"/>
              </w:rPr>
              <w:t> </w:t>
            </w:r>
          </w:p>
        </w:tc>
      </w:tr>
      <w:tr w:rsidR="00B83890" w:rsidRPr="0064748F" w:rsidTr="006E6DC8">
        <w:trPr>
          <w:trHeight w:val="225"/>
        </w:trPr>
        <w:tc>
          <w:tcPr>
            <w:tcW w:w="4320" w:type="dxa"/>
            <w:tcBorders>
              <w:top w:val="nil"/>
              <w:left w:val="nil"/>
              <w:bottom w:val="nil"/>
              <w:right w:val="nil"/>
            </w:tcBorders>
            <w:noWrap/>
            <w:vAlign w:val="bottom"/>
          </w:tcPr>
          <w:p w:rsidR="00B83890" w:rsidRPr="0064748F" w:rsidRDefault="00B83890" w:rsidP="006E6DC8">
            <w:pPr>
              <w:rPr>
                <w:rFonts w:cs="Arial"/>
                <w:b/>
                <w:bCs/>
                <w:sz w:val="18"/>
                <w:szCs w:val="18"/>
              </w:rPr>
            </w:pPr>
            <w:r w:rsidRPr="0064748F">
              <w:rPr>
                <w:rFonts w:cs="Arial"/>
                <w:b/>
                <w:bCs/>
                <w:sz w:val="18"/>
                <w:szCs w:val="18"/>
              </w:rPr>
              <w:t>2013</w:t>
            </w:r>
          </w:p>
        </w:tc>
        <w:tc>
          <w:tcPr>
            <w:tcW w:w="960" w:type="dxa"/>
            <w:tcBorders>
              <w:top w:val="nil"/>
              <w:left w:val="nil"/>
              <w:bottom w:val="nil"/>
              <w:right w:val="nil"/>
            </w:tcBorders>
            <w:shd w:val="clear" w:color="000000" w:fill="D8D8D8"/>
          </w:tcPr>
          <w:p w:rsidR="00B83890" w:rsidRPr="0064748F" w:rsidRDefault="00B83890" w:rsidP="006E6DC8">
            <w:pPr>
              <w:rPr>
                <w:rFonts w:cs="Arial"/>
                <w:sz w:val="18"/>
                <w:szCs w:val="18"/>
              </w:rPr>
            </w:pPr>
            <w:r w:rsidRPr="0064748F">
              <w:rPr>
                <w:rFonts w:cs="Arial"/>
                <w:sz w:val="18"/>
                <w:szCs w:val="18"/>
              </w:rPr>
              <w:t> </w:t>
            </w:r>
          </w:p>
        </w:tc>
        <w:tc>
          <w:tcPr>
            <w:tcW w:w="980" w:type="dxa"/>
            <w:tcBorders>
              <w:top w:val="nil"/>
              <w:left w:val="nil"/>
              <w:bottom w:val="nil"/>
              <w:right w:val="nil"/>
            </w:tcBorders>
          </w:tcPr>
          <w:p w:rsidR="00B83890" w:rsidRPr="0064748F" w:rsidRDefault="00B83890" w:rsidP="006E6DC8">
            <w:pPr>
              <w:rPr>
                <w:rFonts w:cs="Arial"/>
                <w:sz w:val="18"/>
                <w:szCs w:val="18"/>
              </w:rPr>
            </w:pPr>
          </w:p>
        </w:tc>
        <w:tc>
          <w:tcPr>
            <w:tcW w:w="1260" w:type="dxa"/>
            <w:tcBorders>
              <w:top w:val="nil"/>
              <w:left w:val="nil"/>
              <w:bottom w:val="nil"/>
              <w:right w:val="nil"/>
            </w:tcBorders>
            <w:shd w:val="clear" w:color="000000" w:fill="D8D8D8"/>
          </w:tcPr>
          <w:p w:rsidR="00B83890" w:rsidRPr="0064748F" w:rsidRDefault="00B83890" w:rsidP="006E6DC8">
            <w:pPr>
              <w:rPr>
                <w:rFonts w:cs="Arial"/>
                <w:sz w:val="18"/>
                <w:szCs w:val="18"/>
              </w:rPr>
            </w:pPr>
            <w:r w:rsidRPr="0064748F">
              <w:rPr>
                <w:rFonts w:cs="Arial"/>
                <w:sz w:val="18"/>
                <w:szCs w:val="18"/>
              </w:rPr>
              <w:t> </w:t>
            </w:r>
          </w:p>
        </w:tc>
        <w:tc>
          <w:tcPr>
            <w:tcW w:w="1000" w:type="dxa"/>
            <w:tcBorders>
              <w:top w:val="nil"/>
              <w:left w:val="nil"/>
              <w:bottom w:val="nil"/>
              <w:right w:val="nil"/>
            </w:tcBorders>
          </w:tcPr>
          <w:p w:rsidR="00B83890" w:rsidRPr="0064748F" w:rsidRDefault="00B83890" w:rsidP="006E6DC8">
            <w:pPr>
              <w:rPr>
                <w:rFonts w:cs="Arial"/>
                <w:sz w:val="18"/>
                <w:szCs w:val="18"/>
              </w:rPr>
            </w:pPr>
          </w:p>
        </w:tc>
        <w:tc>
          <w:tcPr>
            <w:tcW w:w="853" w:type="dxa"/>
            <w:tcBorders>
              <w:top w:val="nil"/>
              <w:left w:val="nil"/>
              <w:bottom w:val="nil"/>
              <w:right w:val="nil"/>
            </w:tcBorders>
            <w:shd w:val="clear" w:color="000000" w:fill="D8D8D8"/>
            <w:noWrap/>
            <w:vAlign w:val="bottom"/>
          </w:tcPr>
          <w:p w:rsidR="00B83890" w:rsidRPr="0064748F" w:rsidRDefault="00B83890" w:rsidP="006E6DC8">
            <w:pPr>
              <w:rPr>
                <w:rFonts w:cs="Arial"/>
                <w:sz w:val="18"/>
                <w:szCs w:val="18"/>
              </w:rPr>
            </w:pPr>
            <w:r w:rsidRPr="0064748F">
              <w:rPr>
                <w:rFonts w:cs="Arial"/>
                <w:sz w:val="18"/>
                <w:szCs w:val="18"/>
              </w:rPr>
              <w:t> </w:t>
            </w:r>
          </w:p>
        </w:tc>
      </w:tr>
      <w:tr w:rsidR="00B83890" w:rsidRPr="0064748F" w:rsidTr="006E6DC8">
        <w:trPr>
          <w:trHeight w:val="225"/>
        </w:trPr>
        <w:tc>
          <w:tcPr>
            <w:tcW w:w="4320" w:type="dxa"/>
            <w:tcBorders>
              <w:top w:val="nil"/>
              <w:left w:val="nil"/>
              <w:bottom w:val="nil"/>
              <w:right w:val="nil"/>
            </w:tcBorders>
            <w:noWrap/>
            <w:vAlign w:val="bottom"/>
          </w:tcPr>
          <w:p w:rsidR="00B83890" w:rsidRPr="0064748F" w:rsidRDefault="00B83890" w:rsidP="006E6DC8">
            <w:pPr>
              <w:rPr>
                <w:rFonts w:cs="Arial"/>
                <w:sz w:val="18"/>
                <w:szCs w:val="18"/>
              </w:rPr>
            </w:pPr>
            <w:r w:rsidRPr="0064748F">
              <w:rPr>
                <w:rFonts w:cs="Arial"/>
                <w:sz w:val="18"/>
                <w:szCs w:val="18"/>
              </w:rPr>
              <w:t>Cash</w:t>
            </w:r>
          </w:p>
        </w:tc>
        <w:tc>
          <w:tcPr>
            <w:tcW w:w="960"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xml:space="preserve">1,104 </w:t>
            </w:r>
          </w:p>
        </w:tc>
        <w:tc>
          <w:tcPr>
            <w:tcW w:w="980" w:type="dxa"/>
            <w:tcBorders>
              <w:top w:val="nil"/>
              <w:left w:val="nil"/>
              <w:bottom w:val="nil"/>
              <w:right w:val="nil"/>
            </w:tcBorders>
            <w:noWrap/>
            <w:vAlign w:val="bottom"/>
          </w:tcPr>
          <w:p w:rsidR="00B83890" w:rsidRPr="0064748F" w:rsidRDefault="00B83890" w:rsidP="006E6DC8">
            <w:pPr>
              <w:jc w:val="right"/>
              <w:rPr>
                <w:rFonts w:cs="Arial"/>
                <w:sz w:val="18"/>
                <w:szCs w:val="18"/>
              </w:rPr>
            </w:pPr>
            <w:r w:rsidRPr="0064748F">
              <w:rPr>
                <w:rFonts w:cs="Arial"/>
                <w:sz w:val="18"/>
                <w:szCs w:val="18"/>
              </w:rPr>
              <w:t xml:space="preserve">1,104 </w:t>
            </w:r>
          </w:p>
        </w:tc>
        <w:tc>
          <w:tcPr>
            <w:tcW w:w="1260" w:type="dxa"/>
            <w:tcBorders>
              <w:top w:val="nil"/>
              <w:left w:val="nil"/>
              <w:bottom w:val="nil"/>
              <w:right w:val="nil"/>
            </w:tcBorders>
            <w:shd w:val="clear" w:color="000000" w:fill="D8D8D8"/>
          </w:tcPr>
          <w:p w:rsidR="00B83890" w:rsidRPr="0064748F" w:rsidRDefault="00B83890" w:rsidP="006E6DC8">
            <w:pPr>
              <w:jc w:val="right"/>
              <w:rPr>
                <w:rFonts w:cs="Arial"/>
                <w:sz w:val="18"/>
                <w:szCs w:val="18"/>
              </w:rPr>
            </w:pPr>
          </w:p>
          <w:p w:rsidR="00B83890" w:rsidRPr="0064748F" w:rsidRDefault="00B83890" w:rsidP="006E6DC8">
            <w:pPr>
              <w:jc w:val="right"/>
              <w:rPr>
                <w:rFonts w:cs="Arial"/>
                <w:sz w:val="18"/>
                <w:szCs w:val="18"/>
              </w:rPr>
            </w:pPr>
            <w:r w:rsidRPr="0064748F">
              <w:rPr>
                <w:rFonts w:cs="Arial"/>
                <w:sz w:val="18"/>
                <w:szCs w:val="18"/>
              </w:rPr>
              <w:t>0 </w:t>
            </w:r>
          </w:p>
        </w:tc>
        <w:tc>
          <w:tcPr>
            <w:tcW w:w="1000" w:type="dxa"/>
            <w:tcBorders>
              <w:top w:val="nil"/>
              <w:left w:val="nil"/>
              <w:bottom w:val="nil"/>
              <w:right w:val="nil"/>
            </w:tcBorders>
          </w:tcPr>
          <w:p w:rsidR="00B83890" w:rsidRPr="0064748F" w:rsidRDefault="00B83890" w:rsidP="006E6DC8">
            <w:pPr>
              <w:jc w:val="right"/>
              <w:rPr>
                <w:rFonts w:cs="Arial"/>
                <w:sz w:val="18"/>
                <w:szCs w:val="18"/>
              </w:rPr>
            </w:pPr>
          </w:p>
          <w:p w:rsidR="00B83890" w:rsidRPr="0064748F" w:rsidRDefault="00B83890" w:rsidP="006E6DC8">
            <w:pPr>
              <w:jc w:val="right"/>
              <w:rPr>
                <w:rFonts w:cs="Arial"/>
                <w:sz w:val="18"/>
                <w:szCs w:val="18"/>
              </w:rPr>
            </w:pPr>
            <w:r w:rsidRPr="0064748F">
              <w:rPr>
                <w:rFonts w:cs="Arial"/>
                <w:sz w:val="18"/>
                <w:szCs w:val="18"/>
              </w:rPr>
              <w:t>0</w:t>
            </w:r>
          </w:p>
        </w:tc>
        <w:tc>
          <w:tcPr>
            <w:tcW w:w="853"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0 </w:t>
            </w:r>
          </w:p>
        </w:tc>
      </w:tr>
      <w:tr w:rsidR="00B83890" w:rsidRPr="0064748F" w:rsidTr="006E6DC8">
        <w:trPr>
          <w:trHeight w:val="225"/>
        </w:trPr>
        <w:tc>
          <w:tcPr>
            <w:tcW w:w="4320" w:type="dxa"/>
            <w:tcBorders>
              <w:top w:val="nil"/>
              <w:left w:val="nil"/>
              <w:bottom w:val="nil"/>
              <w:right w:val="nil"/>
            </w:tcBorders>
            <w:noWrap/>
            <w:vAlign w:val="bottom"/>
          </w:tcPr>
          <w:p w:rsidR="00B83890" w:rsidRPr="0064748F" w:rsidRDefault="00B83890" w:rsidP="006E6DC8">
            <w:pPr>
              <w:rPr>
                <w:rFonts w:cs="Arial"/>
                <w:b/>
                <w:bCs/>
                <w:sz w:val="18"/>
                <w:szCs w:val="18"/>
              </w:rPr>
            </w:pPr>
            <w:r w:rsidRPr="0064748F">
              <w:rPr>
                <w:rFonts w:cs="Arial"/>
                <w:b/>
                <w:bCs/>
                <w:sz w:val="18"/>
                <w:szCs w:val="18"/>
              </w:rPr>
              <w:t xml:space="preserve">Receivables: </w:t>
            </w:r>
          </w:p>
        </w:tc>
        <w:tc>
          <w:tcPr>
            <w:tcW w:w="960"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w:t>
            </w:r>
          </w:p>
        </w:tc>
        <w:tc>
          <w:tcPr>
            <w:tcW w:w="980" w:type="dxa"/>
            <w:tcBorders>
              <w:top w:val="nil"/>
              <w:left w:val="nil"/>
              <w:bottom w:val="nil"/>
              <w:right w:val="nil"/>
            </w:tcBorders>
            <w:noWrap/>
            <w:vAlign w:val="bottom"/>
          </w:tcPr>
          <w:p w:rsidR="00B83890" w:rsidRPr="0064748F" w:rsidRDefault="00B83890" w:rsidP="006E6DC8">
            <w:pPr>
              <w:jc w:val="right"/>
              <w:rPr>
                <w:rFonts w:cs="Arial"/>
                <w:sz w:val="18"/>
                <w:szCs w:val="18"/>
              </w:rPr>
            </w:pPr>
          </w:p>
        </w:tc>
        <w:tc>
          <w:tcPr>
            <w:tcW w:w="1260"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w:t>
            </w:r>
          </w:p>
        </w:tc>
        <w:tc>
          <w:tcPr>
            <w:tcW w:w="1000" w:type="dxa"/>
            <w:tcBorders>
              <w:top w:val="nil"/>
              <w:left w:val="nil"/>
              <w:bottom w:val="nil"/>
              <w:right w:val="nil"/>
            </w:tcBorders>
            <w:noWrap/>
            <w:vAlign w:val="bottom"/>
          </w:tcPr>
          <w:p w:rsidR="00B83890" w:rsidRPr="0064748F" w:rsidRDefault="00B83890" w:rsidP="006E6DC8">
            <w:pPr>
              <w:jc w:val="right"/>
              <w:rPr>
                <w:rFonts w:cs="Arial"/>
                <w:sz w:val="18"/>
                <w:szCs w:val="18"/>
              </w:rPr>
            </w:pPr>
          </w:p>
        </w:tc>
        <w:tc>
          <w:tcPr>
            <w:tcW w:w="853"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w:t>
            </w:r>
          </w:p>
        </w:tc>
      </w:tr>
      <w:tr w:rsidR="00B83890" w:rsidRPr="0064748F" w:rsidTr="006E6DC8">
        <w:trPr>
          <w:trHeight w:val="225"/>
        </w:trPr>
        <w:tc>
          <w:tcPr>
            <w:tcW w:w="4320" w:type="dxa"/>
            <w:tcBorders>
              <w:top w:val="nil"/>
              <w:left w:val="nil"/>
              <w:bottom w:val="nil"/>
              <w:right w:val="nil"/>
            </w:tcBorders>
            <w:noWrap/>
            <w:vAlign w:val="bottom"/>
          </w:tcPr>
          <w:p w:rsidR="00B83890" w:rsidRPr="0064748F" w:rsidRDefault="00B83890" w:rsidP="006E6DC8">
            <w:pPr>
              <w:rPr>
                <w:rFonts w:cs="Arial"/>
                <w:sz w:val="18"/>
                <w:szCs w:val="18"/>
              </w:rPr>
            </w:pPr>
            <w:r w:rsidRPr="0064748F">
              <w:rPr>
                <w:rFonts w:cs="Arial"/>
                <w:sz w:val="18"/>
                <w:szCs w:val="18"/>
              </w:rPr>
              <w:t>Sale of goods and services</w:t>
            </w:r>
          </w:p>
        </w:tc>
        <w:tc>
          <w:tcPr>
            <w:tcW w:w="960"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xml:space="preserve">1,647 </w:t>
            </w:r>
          </w:p>
        </w:tc>
        <w:tc>
          <w:tcPr>
            <w:tcW w:w="980" w:type="dxa"/>
            <w:tcBorders>
              <w:top w:val="nil"/>
              <w:left w:val="nil"/>
              <w:bottom w:val="nil"/>
              <w:right w:val="nil"/>
            </w:tcBorders>
            <w:noWrap/>
            <w:vAlign w:val="bottom"/>
          </w:tcPr>
          <w:p w:rsidR="00B83890" w:rsidRPr="0064748F" w:rsidRDefault="00B83890" w:rsidP="006E6DC8">
            <w:pPr>
              <w:jc w:val="right"/>
              <w:rPr>
                <w:rFonts w:cs="Arial"/>
                <w:sz w:val="18"/>
                <w:szCs w:val="18"/>
              </w:rPr>
            </w:pPr>
            <w:r w:rsidRPr="0064748F">
              <w:rPr>
                <w:rFonts w:cs="Arial"/>
                <w:sz w:val="18"/>
                <w:szCs w:val="18"/>
              </w:rPr>
              <w:t xml:space="preserve">671 </w:t>
            </w:r>
          </w:p>
        </w:tc>
        <w:tc>
          <w:tcPr>
            <w:tcW w:w="1260"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xml:space="preserve">976 </w:t>
            </w:r>
          </w:p>
        </w:tc>
        <w:tc>
          <w:tcPr>
            <w:tcW w:w="1000" w:type="dxa"/>
            <w:tcBorders>
              <w:top w:val="nil"/>
              <w:left w:val="nil"/>
              <w:bottom w:val="nil"/>
              <w:right w:val="nil"/>
            </w:tcBorders>
            <w:noWrap/>
            <w:vAlign w:val="bottom"/>
          </w:tcPr>
          <w:p w:rsidR="00B83890" w:rsidRPr="0064748F" w:rsidRDefault="00B83890" w:rsidP="006E6DC8">
            <w:pPr>
              <w:jc w:val="right"/>
              <w:rPr>
                <w:rFonts w:cs="Arial"/>
                <w:sz w:val="18"/>
                <w:szCs w:val="18"/>
              </w:rPr>
            </w:pPr>
            <w:r w:rsidRPr="0064748F">
              <w:rPr>
                <w:rFonts w:cs="Arial"/>
                <w:sz w:val="18"/>
                <w:szCs w:val="18"/>
              </w:rPr>
              <w:t>0</w:t>
            </w:r>
          </w:p>
        </w:tc>
        <w:tc>
          <w:tcPr>
            <w:tcW w:w="853"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xml:space="preserve">0 </w:t>
            </w:r>
          </w:p>
        </w:tc>
      </w:tr>
      <w:tr w:rsidR="00B83890" w:rsidRPr="0064748F" w:rsidTr="006E6DC8">
        <w:trPr>
          <w:trHeight w:val="225"/>
        </w:trPr>
        <w:tc>
          <w:tcPr>
            <w:tcW w:w="4320" w:type="dxa"/>
            <w:tcBorders>
              <w:top w:val="nil"/>
              <w:left w:val="nil"/>
              <w:bottom w:val="nil"/>
              <w:right w:val="nil"/>
            </w:tcBorders>
            <w:noWrap/>
            <w:vAlign w:val="bottom"/>
          </w:tcPr>
          <w:p w:rsidR="00B83890" w:rsidRPr="0064748F" w:rsidRDefault="00B83890" w:rsidP="006E6DC8">
            <w:pPr>
              <w:rPr>
                <w:rFonts w:cs="Arial"/>
                <w:b/>
                <w:bCs/>
                <w:sz w:val="18"/>
                <w:szCs w:val="18"/>
              </w:rPr>
            </w:pPr>
            <w:r w:rsidRPr="0064748F">
              <w:rPr>
                <w:rFonts w:cs="Arial"/>
                <w:b/>
                <w:bCs/>
                <w:sz w:val="18"/>
                <w:szCs w:val="18"/>
              </w:rPr>
              <w:t>Investments and other contractual financial assets</w:t>
            </w:r>
          </w:p>
        </w:tc>
        <w:tc>
          <w:tcPr>
            <w:tcW w:w="960"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w:t>
            </w:r>
          </w:p>
        </w:tc>
        <w:tc>
          <w:tcPr>
            <w:tcW w:w="980" w:type="dxa"/>
            <w:tcBorders>
              <w:top w:val="nil"/>
              <w:left w:val="nil"/>
              <w:bottom w:val="nil"/>
              <w:right w:val="nil"/>
            </w:tcBorders>
            <w:noWrap/>
            <w:vAlign w:val="bottom"/>
          </w:tcPr>
          <w:p w:rsidR="00B83890" w:rsidRPr="0064748F" w:rsidRDefault="00B83890" w:rsidP="006E6DC8">
            <w:pPr>
              <w:jc w:val="right"/>
              <w:rPr>
                <w:rFonts w:cs="Arial"/>
                <w:sz w:val="18"/>
                <w:szCs w:val="18"/>
              </w:rPr>
            </w:pPr>
          </w:p>
        </w:tc>
        <w:tc>
          <w:tcPr>
            <w:tcW w:w="1260"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w:t>
            </w:r>
          </w:p>
        </w:tc>
        <w:tc>
          <w:tcPr>
            <w:tcW w:w="1000" w:type="dxa"/>
            <w:tcBorders>
              <w:top w:val="nil"/>
              <w:left w:val="nil"/>
              <w:bottom w:val="nil"/>
              <w:right w:val="nil"/>
            </w:tcBorders>
            <w:noWrap/>
            <w:vAlign w:val="bottom"/>
          </w:tcPr>
          <w:p w:rsidR="00B83890" w:rsidRPr="0064748F" w:rsidRDefault="00B83890" w:rsidP="006E6DC8">
            <w:pPr>
              <w:jc w:val="right"/>
              <w:rPr>
                <w:rFonts w:cs="Arial"/>
                <w:sz w:val="18"/>
                <w:szCs w:val="18"/>
              </w:rPr>
            </w:pPr>
          </w:p>
        </w:tc>
        <w:tc>
          <w:tcPr>
            <w:tcW w:w="853"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w:t>
            </w:r>
          </w:p>
        </w:tc>
      </w:tr>
      <w:tr w:rsidR="00B83890" w:rsidRPr="0064748F" w:rsidTr="006E6DC8">
        <w:trPr>
          <w:trHeight w:val="225"/>
        </w:trPr>
        <w:tc>
          <w:tcPr>
            <w:tcW w:w="4320" w:type="dxa"/>
            <w:tcBorders>
              <w:top w:val="nil"/>
              <w:left w:val="nil"/>
              <w:bottom w:val="single" w:sz="4" w:space="0" w:color="auto"/>
              <w:right w:val="nil"/>
            </w:tcBorders>
            <w:noWrap/>
            <w:vAlign w:val="bottom"/>
          </w:tcPr>
          <w:p w:rsidR="00B83890" w:rsidRPr="0064748F" w:rsidRDefault="00B83890" w:rsidP="006E6DC8">
            <w:pPr>
              <w:rPr>
                <w:rFonts w:cs="Arial"/>
                <w:sz w:val="18"/>
                <w:szCs w:val="18"/>
              </w:rPr>
            </w:pPr>
            <w:r w:rsidRPr="0064748F">
              <w:rPr>
                <w:rFonts w:cs="Arial"/>
                <w:sz w:val="18"/>
                <w:szCs w:val="18"/>
              </w:rPr>
              <w:t>Short-term cash investments</w:t>
            </w:r>
          </w:p>
        </w:tc>
        <w:tc>
          <w:tcPr>
            <w:tcW w:w="960" w:type="dxa"/>
            <w:tcBorders>
              <w:top w:val="nil"/>
              <w:left w:val="nil"/>
              <w:bottom w:val="single" w:sz="4" w:space="0" w:color="auto"/>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xml:space="preserve">23,294 </w:t>
            </w:r>
          </w:p>
        </w:tc>
        <w:tc>
          <w:tcPr>
            <w:tcW w:w="980" w:type="dxa"/>
            <w:tcBorders>
              <w:top w:val="nil"/>
              <w:left w:val="nil"/>
              <w:bottom w:val="single" w:sz="4" w:space="0" w:color="auto"/>
              <w:right w:val="nil"/>
            </w:tcBorders>
            <w:noWrap/>
            <w:vAlign w:val="bottom"/>
          </w:tcPr>
          <w:p w:rsidR="00B83890" w:rsidRPr="0064748F" w:rsidRDefault="00B83890" w:rsidP="006E6DC8">
            <w:pPr>
              <w:jc w:val="right"/>
              <w:rPr>
                <w:rFonts w:cs="Arial"/>
                <w:sz w:val="18"/>
                <w:szCs w:val="18"/>
              </w:rPr>
            </w:pPr>
            <w:r w:rsidRPr="0064748F">
              <w:rPr>
                <w:rFonts w:cs="Arial"/>
                <w:sz w:val="18"/>
                <w:szCs w:val="18"/>
              </w:rPr>
              <w:t>23,294</w:t>
            </w:r>
          </w:p>
        </w:tc>
        <w:tc>
          <w:tcPr>
            <w:tcW w:w="1260" w:type="dxa"/>
            <w:tcBorders>
              <w:top w:val="nil"/>
              <w:left w:val="nil"/>
              <w:bottom w:val="single" w:sz="4" w:space="0" w:color="auto"/>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0 </w:t>
            </w:r>
          </w:p>
        </w:tc>
        <w:tc>
          <w:tcPr>
            <w:tcW w:w="1000" w:type="dxa"/>
            <w:tcBorders>
              <w:top w:val="nil"/>
              <w:left w:val="nil"/>
              <w:bottom w:val="single" w:sz="4" w:space="0" w:color="auto"/>
              <w:right w:val="nil"/>
            </w:tcBorders>
            <w:noWrap/>
            <w:vAlign w:val="bottom"/>
          </w:tcPr>
          <w:p w:rsidR="00B83890" w:rsidRPr="0064748F" w:rsidRDefault="00B83890" w:rsidP="006E6DC8">
            <w:pPr>
              <w:jc w:val="right"/>
              <w:rPr>
                <w:rFonts w:cs="Arial"/>
                <w:sz w:val="18"/>
                <w:szCs w:val="18"/>
              </w:rPr>
            </w:pPr>
            <w:r w:rsidRPr="0064748F">
              <w:rPr>
                <w:rFonts w:cs="Arial"/>
                <w:sz w:val="18"/>
                <w:szCs w:val="18"/>
              </w:rPr>
              <w:t> 0</w:t>
            </w:r>
          </w:p>
        </w:tc>
        <w:tc>
          <w:tcPr>
            <w:tcW w:w="853" w:type="dxa"/>
            <w:tcBorders>
              <w:top w:val="nil"/>
              <w:left w:val="nil"/>
              <w:bottom w:val="single" w:sz="4" w:space="0" w:color="auto"/>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0 </w:t>
            </w:r>
          </w:p>
        </w:tc>
      </w:tr>
      <w:tr w:rsidR="00B83890" w:rsidRPr="0064748F" w:rsidTr="006E6DC8">
        <w:trPr>
          <w:trHeight w:val="225"/>
        </w:trPr>
        <w:tc>
          <w:tcPr>
            <w:tcW w:w="4320" w:type="dxa"/>
            <w:tcBorders>
              <w:top w:val="nil"/>
              <w:left w:val="nil"/>
              <w:bottom w:val="single" w:sz="4" w:space="0" w:color="auto"/>
              <w:right w:val="nil"/>
            </w:tcBorders>
            <w:noWrap/>
            <w:vAlign w:val="bottom"/>
          </w:tcPr>
          <w:p w:rsidR="00B83890" w:rsidRPr="0064748F" w:rsidRDefault="00B83890" w:rsidP="006E6DC8">
            <w:pPr>
              <w:rPr>
                <w:rFonts w:cs="Arial"/>
                <w:b/>
                <w:bCs/>
                <w:sz w:val="18"/>
                <w:szCs w:val="18"/>
              </w:rPr>
            </w:pPr>
            <w:r w:rsidRPr="0064748F">
              <w:rPr>
                <w:rFonts w:cs="Arial"/>
                <w:b/>
                <w:bCs/>
                <w:sz w:val="18"/>
                <w:szCs w:val="18"/>
              </w:rPr>
              <w:t>Total</w:t>
            </w:r>
          </w:p>
        </w:tc>
        <w:tc>
          <w:tcPr>
            <w:tcW w:w="960" w:type="dxa"/>
            <w:tcBorders>
              <w:top w:val="nil"/>
              <w:left w:val="nil"/>
              <w:bottom w:val="single" w:sz="4" w:space="0" w:color="auto"/>
              <w:right w:val="nil"/>
            </w:tcBorders>
            <w:shd w:val="clear" w:color="000000" w:fill="D8D8D8"/>
            <w:noWrap/>
            <w:vAlign w:val="bottom"/>
          </w:tcPr>
          <w:p w:rsidR="00B83890" w:rsidRPr="0064748F" w:rsidRDefault="00B83890" w:rsidP="006E6DC8">
            <w:pPr>
              <w:jc w:val="right"/>
              <w:rPr>
                <w:rFonts w:cs="Arial"/>
                <w:b/>
                <w:bCs/>
                <w:sz w:val="18"/>
                <w:szCs w:val="18"/>
              </w:rPr>
            </w:pPr>
            <w:r w:rsidRPr="0064748F">
              <w:rPr>
                <w:rFonts w:cs="Arial"/>
                <w:b/>
                <w:bCs/>
                <w:sz w:val="18"/>
                <w:szCs w:val="18"/>
              </w:rPr>
              <w:t xml:space="preserve">26,045 </w:t>
            </w:r>
          </w:p>
        </w:tc>
        <w:tc>
          <w:tcPr>
            <w:tcW w:w="980" w:type="dxa"/>
            <w:tcBorders>
              <w:top w:val="nil"/>
              <w:left w:val="nil"/>
              <w:bottom w:val="single" w:sz="4" w:space="0" w:color="auto"/>
              <w:right w:val="nil"/>
            </w:tcBorders>
            <w:noWrap/>
            <w:vAlign w:val="bottom"/>
          </w:tcPr>
          <w:p w:rsidR="00B83890" w:rsidRPr="0064748F" w:rsidRDefault="00B83890" w:rsidP="006E6DC8">
            <w:pPr>
              <w:jc w:val="right"/>
              <w:rPr>
                <w:rFonts w:cs="Arial"/>
                <w:b/>
                <w:bCs/>
                <w:sz w:val="18"/>
                <w:szCs w:val="18"/>
              </w:rPr>
            </w:pPr>
            <w:r w:rsidRPr="0064748F">
              <w:rPr>
                <w:rFonts w:cs="Arial"/>
                <w:b/>
                <w:bCs/>
                <w:sz w:val="18"/>
                <w:szCs w:val="18"/>
              </w:rPr>
              <w:t xml:space="preserve">25,069 </w:t>
            </w:r>
          </w:p>
        </w:tc>
        <w:tc>
          <w:tcPr>
            <w:tcW w:w="1260" w:type="dxa"/>
            <w:tcBorders>
              <w:top w:val="nil"/>
              <w:left w:val="nil"/>
              <w:bottom w:val="single" w:sz="4" w:space="0" w:color="auto"/>
              <w:right w:val="nil"/>
            </w:tcBorders>
            <w:shd w:val="clear" w:color="000000" w:fill="D8D8D8"/>
            <w:noWrap/>
            <w:vAlign w:val="bottom"/>
          </w:tcPr>
          <w:p w:rsidR="00B83890" w:rsidRPr="0064748F" w:rsidRDefault="00B83890" w:rsidP="006E6DC8">
            <w:pPr>
              <w:jc w:val="right"/>
              <w:rPr>
                <w:rFonts w:cs="Arial"/>
                <w:b/>
                <w:bCs/>
                <w:sz w:val="18"/>
                <w:szCs w:val="18"/>
              </w:rPr>
            </w:pPr>
            <w:r w:rsidRPr="0064748F">
              <w:rPr>
                <w:rFonts w:cs="Arial"/>
                <w:b/>
                <w:bCs/>
                <w:sz w:val="18"/>
                <w:szCs w:val="18"/>
              </w:rPr>
              <w:t xml:space="preserve">976 </w:t>
            </w:r>
          </w:p>
        </w:tc>
        <w:tc>
          <w:tcPr>
            <w:tcW w:w="1000" w:type="dxa"/>
            <w:tcBorders>
              <w:top w:val="nil"/>
              <w:left w:val="nil"/>
              <w:bottom w:val="single" w:sz="4" w:space="0" w:color="auto"/>
              <w:right w:val="nil"/>
            </w:tcBorders>
            <w:noWrap/>
            <w:vAlign w:val="bottom"/>
          </w:tcPr>
          <w:p w:rsidR="00B83890" w:rsidRPr="0064748F" w:rsidRDefault="00B83890" w:rsidP="006E6DC8">
            <w:pPr>
              <w:jc w:val="right"/>
              <w:rPr>
                <w:rFonts w:cs="Arial"/>
                <w:b/>
                <w:bCs/>
                <w:sz w:val="18"/>
                <w:szCs w:val="18"/>
              </w:rPr>
            </w:pPr>
            <w:r w:rsidRPr="0064748F">
              <w:rPr>
                <w:rFonts w:cs="Arial"/>
                <w:b/>
                <w:bCs/>
                <w:sz w:val="18"/>
                <w:szCs w:val="18"/>
              </w:rPr>
              <w:t>0</w:t>
            </w:r>
          </w:p>
        </w:tc>
        <w:tc>
          <w:tcPr>
            <w:tcW w:w="853" w:type="dxa"/>
            <w:tcBorders>
              <w:top w:val="nil"/>
              <w:left w:val="nil"/>
              <w:bottom w:val="single" w:sz="4" w:space="0" w:color="auto"/>
              <w:right w:val="nil"/>
            </w:tcBorders>
            <w:shd w:val="clear" w:color="000000" w:fill="D8D8D8"/>
            <w:noWrap/>
            <w:vAlign w:val="bottom"/>
          </w:tcPr>
          <w:p w:rsidR="00B83890" w:rsidRPr="0064748F" w:rsidRDefault="00B83890" w:rsidP="000774C5">
            <w:pPr>
              <w:jc w:val="right"/>
              <w:rPr>
                <w:rFonts w:cs="Arial"/>
                <w:b/>
                <w:bCs/>
                <w:sz w:val="18"/>
                <w:szCs w:val="18"/>
              </w:rPr>
            </w:pPr>
            <w:r w:rsidRPr="0064748F">
              <w:rPr>
                <w:rFonts w:cs="Arial"/>
                <w:b/>
                <w:bCs/>
                <w:sz w:val="18"/>
                <w:szCs w:val="18"/>
              </w:rPr>
              <w:t xml:space="preserve"> 0 </w:t>
            </w:r>
          </w:p>
        </w:tc>
      </w:tr>
      <w:tr w:rsidR="00B83890" w:rsidRPr="0064748F" w:rsidTr="006E6DC8">
        <w:trPr>
          <w:trHeight w:val="225"/>
        </w:trPr>
        <w:tc>
          <w:tcPr>
            <w:tcW w:w="4320" w:type="dxa"/>
            <w:tcBorders>
              <w:top w:val="nil"/>
              <w:left w:val="nil"/>
              <w:bottom w:val="nil"/>
              <w:right w:val="nil"/>
            </w:tcBorders>
            <w:noWrap/>
            <w:vAlign w:val="bottom"/>
          </w:tcPr>
          <w:p w:rsidR="00B83890" w:rsidRPr="0064748F" w:rsidRDefault="00B83890" w:rsidP="006E6DC8">
            <w:pPr>
              <w:rPr>
                <w:rFonts w:cs="Arial"/>
                <w:b/>
                <w:bCs/>
                <w:sz w:val="18"/>
                <w:szCs w:val="18"/>
              </w:rPr>
            </w:pPr>
            <w:r w:rsidRPr="0064748F">
              <w:rPr>
                <w:rFonts w:cs="Arial"/>
                <w:b/>
                <w:bCs/>
                <w:sz w:val="18"/>
                <w:szCs w:val="18"/>
              </w:rPr>
              <w:t>2012</w:t>
            </w:r>
          </w:p>
        </w:tc>
        <w:tc>
          <w:tcPr>
            <w:tcW w:w="960"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w:t>
            </w:r>
          </w:p>
        </w:tc>
        <w:tc>
          <w:tcPr>
            <w:tcW w:w="980" w:type="dxa"/>
            <w:tcBorders>
              <w:top w:val="nil"/>
              <w:left w:val="nil"/>
              <w:bottom w:val="nil"/>
              <w:right w:val="nil"/>
            </w:tcBorders>
            <w:noWrap/>
            <w:vAlign w:val="bottom"/>
          </w:tcPr>
          <w:p w:rsidR="00B83890" w:rsidRPr="0064748F" w:rsidRDefault="00B83890" w:rsidP="006E6DC8">
            <w:pPr>
              <w:jc w:val="right"/>
              <w:rPr>
                <w:rFonts w:cs="Arial"/>
                <w:sz w:val="18"/>
                <w:szCs w:val="18"/>
              </w:rPr>
            </w:pPr>
          </w:p>
        </w:tc>
        <w:tc>
          <w:tcPr>
            <w:tcW w:w="1260"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w:t>
            </w:r>
          </w:p>
        </w:tc>
        <w:tc>
          <w:tcPr>
            <w:tcW w:w="1000" w:type="dxa"/>
            <w:tcBorders>
              <w:top w:val="nil"/>
              <w:left w:val="nil"/>
              <w:bottom w:val="nil"/>
              <w:right w:val="nil"/>
            </w:tcBorders>
            <w:noWrap/>
            <w:vAlign w:val="bottom"/>
          </w:tcPr>
          <w:p w:rsidR="00B83890" w:rsidRPr="0064748F" w:rsidRDefault="00B83890" w:rsidP="006E6DC8">
            <w:pPr>
              <w:jc w:val="right"/>
              <w:rPr>
                <w:rFonts w:cs="Arial"/>
                <w:sz w:val="18"/>
                <w:szCs w:val="18"/>
              </w:rPr>
            </w:pPr>
          </w:p>
        </w:tc>
        <w:tc>
          <w:tcPr>
            <w:tcW w:w="853"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w:t>
            </w:r>
          </w:p>
        </w:tc>
      </w:tr>
      <w:tr w:rsidR="00B83890" w:rsidRPr="0064748F" w:rsidTr="006E6DC8">
        <w:trPr>
          <w:trHeight w:val="225"/>
        </w:trPr>
        <w:tc>
          <w:tcPr>
            <w:tcW w:w="4320" w:type="dxa"/>
            <w:tcBorders>
              <w:top w:val="nil"/>
              <w:left w:val="nil"/>
              <w:bottom w:val="nil"/>
              <w:right w:val="nil"/>
            </w:tcBorders>
            <w:noWrap/>
            <w:vAlign w:val="bottom"/>
          </w:tcPr>
          <w:p w:rsidR="00B83890" w:rsidRPr="0064748F" w:rsidRDefault="00B83890" w:rsidP="006E6DC8">
            <w:pPr>
              <w:rPr>
                <w:rFonts w:cs="Arial"/>
                <w:sz w:val="18"/>
                <w:szCs w:val="18"/>
              </w:rPr>
            </w:pPr>
            <w:r w:rsidRPr="0064748F">
              <w:rPr>
                <w:rFonts w:cs="Arial"/>
                <w:sz w:val="18"/>
                <w:szCs w:val="18"/>
              </w:rPr>
              <w:t>Cash</w:t>
            </w:r>
          </w:p>
        </w:tc>
        <w:tc>
          <w:tcPr>
            <w:tcW w:w="960"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xml:space="preserve">236 </w:t>
            </w:r>
          </w:p>
        </w:tc>
        <w:tc>
          <w:tcPr>
            <w:tcW w:w="980" w:type="dxa"/>
            <w:tcBorders>
              <w:top w:val="nil"/>
              <w:left w:val="nil"/>
              <w:bottom w:val="nil"/>
              <w:right w:val="nil"/>
            </w:tcBorders>
            <w:noWrap/>
            <w:vAlign w:val="bottom"/>
          </w:tcPr>
          <w:p w:rsidR="00B83890" w:rsidRPr="0064748F" w:rsidRDefault="00B83890" w:rsidP="006E6DC8">
            <w:pPr>
              <w:jc w:val="right"/>
              <w:rPr>
                <w:rFonts w:cs="Arial"/>
                <w:sz w:val="18"/>
                <w:szCs w:val="18"/>
              </w:rPr>
            </w:pPr>
            <w:r w:rsidRPr="0064748F">
              <w:rPr>
                <w:rFonts w:cs="Arial"/>
                <w:sz w:val="18"/>
                <w:szCs w:val="18"/>
              </w:rPr>
              <w:t xml:space="preserve">236 </w:t>
            </w:r>
          </w:p>
        </w:tc>
        <w:tc>
          <w:tcPr>
            <w:tcW w:w="1260" w:type="dxa"/>
            <w:tcBorders>
              <w:top w:val="nil"/>
              <w:left w:val="nil"/>
              <w:bottom w:val="nil"/>
              <w:right w:val="nil"/>
            </w:tcBorders>
            <w:shd w:val="clear" w:color="000000" w:fill="D8D8D8"/>
            <w:noWrap/>
          </w:tcPr>
          <w:p w:rsidR="00B83890" w:rsidRPr="0064748F" w:rsidRDefault="00B83890" w:rsidP="006E6DC8">
            <w:pPr>
              <w:jc w:val="right"/>
              <w:rPr>
                <w:rFonts w:cs="Arial"/>
                <w:sz w:val="18"/>
                <w:szCs w:val="18"/>
              </w:rPr>
            </w:pPr>
          </w:p>
          <w:p w:rsidR="00B83890" w:rsidRPr="0064748F" w:rsidRDefault="00B83890" w:rsidP="006E6DC8">
            <w:pPr>
              <w:jc w:val="right"/>
              <w:rPr>
                <w:rFonts w:cs="Arial"/>
                <w:sz w:val="18"/>
                <w:szCs w:val="18"/>
              </w:rPr>
            </w:pPr>
            <w:r w:rsidRPr="0064748F">
              <w:rPr>
                <w:rFonts w:cs="Arial"/>
                <w:sz w:val="18"/>
                <w:szCs w:val="18"/>
              </w:rPr>
              <w:t>0 </w:t>
            </w:r>
          </w:p>
        </w:tc>
        <w:tc>
          <w:tcPr>
            <w:tcW w:w="1000" w:type="dxa"/>
            <w:tcBorders>
              <w:top w:val="nil"/>
              <w:left w:val="nil"/>
              <w:bottom w:val="nil"/>
              <w:right w:val="nil"/>
            </w:tcBorders>
            <w:noWrap/>
          </w:tcPr>
          <w:p w:rsidR="00B83890" w:rsidRPr="0064748F" w:rsidRDefault="00B83890" w:rsidP="006E6DC8">
            <w:pPr>
              <w:jc w:val="right"/>
              <w:rPr>
                <w:rFonts w:cs="Arial"/>
                <w:sz w:val="18"/>
                <w:szCs w:val="18"/>
              </w:rPr>
            </w:pPr>
          </w:p>
          <w:p w:rsidR="00B83890" w:rsidRPr="0064748F" w:rsidRDefault="00B83890" w:rsidP="006E6DC8">
            <w:pPr>
              <w:jc w:val="right"/>
              <w:rPr>
                <w:rFonts w:cs="Arial"/>
                <w:sz w:val="18"/>
                <w:szCs w:val="18"/>
              </w:rPr>
            </w:pPr>
            <w:r w:rsidRPr="0064748F">
              <w:rPr>
                <w:rFonts w:cs="Arial"/>
                <w:sz w:val="18"/>
                <w:szCs w:val="18"/>
              </w:rPr>
              <w:t>0</w:t>
            </w:r>
          </w:p>
        </w:tc>
        <w:tc>
          <w:tcPr>
            <w:tcW w:w="853"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0 </w:t>
            </w:r>
          </w:p>
        </w:tc>
      </w:tr>
      <w:tr w:rsidR="00B83890" w:rsidRPr="0064748F" w:rsidTr="006E6DC8">
        <w:trPr>
          <w:trHeight w:val="225"/>
        </w:trPr>
        <w:tc>
          <w:tcPr>
            <w:tcW w:w="4320" w:type="dxa"/>
            <w:tcBorders>
              <w:top w:val="nil"/>
              <w:left w:val="nil"/>
              <w:bottom w:val="nil"/>
              <w:right w:val="nil"/>
            </w:tcBorders>
            <w:noWrap/>
            <w:vAlign w:val="bottom"/>
          </w:tcPr>
          <w:p w:rsidR="00B83890" w:rsidRPr="0064748F" w:rsidRDefault="00B83890" w:rsidP="006E6DC8">
            <w:pPr>
              <w:rPr>
                <w:rFonts w:cs="Arial"/>
                <w:b/>
                <w:bCs/>
                <w:sz w:val="18"/>
                <w:szCs w:val="18"/>
              </w:rPr>
            </w:pPr>
            <w:r w:rsidRPr="0064748F">
              <w:rPr>
                <w:rFonts w:cs="Arial"/>
                <w:b/>
                <w:bCs/>
                <w:sz w:val="18"/>
                <w:szCs w:val="18"/>
              </w:rPr>
              <w:t xml:space="preserve">Receivables: </w:t>
            </w:r>
          </w:p>
        </w:tc>
        <w:tc>
          <w:tcPr>
            <w:tcW w:w="960"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w:t>
            </w:r>
          </w:p>
        </w:tc>
        <w:tc>
          <w:tcPr>
            <w:tcW w:w="980" w:type="dxa"/>
            <w:tcBorders>
              <w:top w:val="nil"/>
              <w:left w:val="nil"/>
              <w:bottom w:val="nil"/>
              <w:right w:val="nil"/>
            </w:tcBorders>
            <w:noWrap/>
            <w:vAlign w:val="bottom"/>
          </w:tcPr>
          <w:p w:rsidR="00B83890" w:rsidRPr="0064748F" w:rsidRDefault="00B83890" w:rsidP="006E6DC8">
            <w:pPr>
              <w:jc w:val="right"/>
              <w:rPr>
                <w:rFonts w:cs="Arial"/>
                <w:sz w:val="18"/>
                <w:szCs w:val="18"/>
              </w:rPr>
            </w:pPr>
          </w:p>
        </w:tc>
        <w:tc>
          <w:tcPr>
            <w:tcW w:w="1260"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w:t>
            </w:r>
          </w:p>
        </w:tc>
        <w:tc>
          <w:tcPr>
            <w:tcW w:w="1000" w:type="dxa"/>
            <w:tcBorders>
              <w:top w:val="nil"/>
              <w:left w:val="nil"/>
              <w:bottom w:val="nil"/>
              <w:right w:val="nil"/>
            </w:tcBorders>
            <w:noWrap/>
            <w:vAlign w:val="bottom"/>
          </w:tcPr>
          <w:p w:rsidR="00B83890" w:rsidRPr="0064748F" w:rsidRDefault="00B83890" w:rsidP="006E6DC8">
            <w:pPr>
              <w:jc w:val="right"/>
              <w:rPr>
                <w:rFonts w:cs="Arial"/>
                <w:sz w:val="18"/>
                <w:szCs w:val="18"/>
              </w:rPr>
            </w:pPr>
          </w:p>
        </w:tc>
        <w:tc>
          <w:tcPr>
            <w:tcW w:w="853"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w:t>
            </w:r>
          </w:p>
        </w:tc>
      </w:tr>
      <w:tr w:rsidR="00B83890" w:rsidRPr="0064748F" w:rsidTr="006E6DC8">
        <w:trPr>
          <w:trHeight w:val="225"/>
        </w:trPr>
        <w:tc>
          <w:tcPr>
            <w:tcW w:w="4320" w:type="dxa"/>
            <w:tcBorders>
              <w:top w:val="nil"/>
              <w:left w:val="nil"/>
              <w:bottom w:val="nil"/>
              <w:right w:val="nil"/>
            </w:tcBorders>
            <w:noWrap/>
            <w:vAlign w:val="bottom"/>
          </w:tcPr>
          <w:p w:rsidR="00B83890" w:rsidRPr="0064748F" w:rsidRDefault="00B83890" w:rsidP="006E6DC8">
            <w:pPr>
              <w:rPr>
                <w:rFonts w:cs="Arial"/>
                <w:sz w:val="18"/>
                <w:szCs w:val="18"/>
              </w:rPr>
            </w:pPr>
            <w:r w:rsidRPr="0064748F">
              <w:rPr>
                <w:rFonts w:cs="Arial"/>
                <w:sz w:val="18"/>
                <w:szCs w:val="18"/>
              </w:rPr>
              <w:t>Sale of goods and services</w:t>
            </w:r>
          </w:p>
        </w:tc>
        <w:tc>
          <w:tcPr>
            <w:tcW w:w="960"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xml:space="preserve">2,607 </w:t>
            </w:r>
          </w:p>
        </w:tc>
        <w:tc>
          <w:tcPr>
            <w:tcW w:w="980" w:type="dxa"/>
            <w:tcBorders>
              <w:top w:val="nil"/>
              <w:left w:val="nil"/>
              <w:bottom w:val="nil"/>
              <w:right w:val="nil"/>
            </w:tcBorders>
            <w:noWrap/>
            <w:vAlign w:val="bottom"/>
          </w:tcPr>
          <w:p w:rsidR="00B83890" w:rsidRPr="0064748F" w:rsidRDefault="00B83890" w:rsidP="006E6DC8">
            <w:pPr>
              <w:jc w:val="right"/>
              <w:rPr>
                <w:rFonts w:cs="Arial"/>
                <w:sz w:val="18"/>
                <w:szCs w:val="18"/>
              </w:rPr>
            </w:pPr>
            <w:r w:rsidRPr="0064748F">
              <w:rPr>
                <w:rFonts w:cs="Arial"/>
                <w:sz w:val="18"/>
                <w:szCs w:val="18"/>
              </w:rPr>
              <w:t xml:space="preserve">933 </w:t>
            </w:r>
          </w:p>
        </w:tc>
        <w:tc>
          <w:tcPr>
            <w:tcW w:w="1260"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xml:space="preserve">1,674 </w:t>
            </w:r>
          </w:p>
        </w:tc>
        <w:tc>
          <w:tcPr>
            <w:tcW w:w="1000" w:type="dxa"/>
            <w:tcBorders>
              <w:top w:val="nil"/>
              <w:left w:val="nil"/>
              <w:bottom w:val="nil"/>
              <w:right w:val="nil"/>
            </w:tcBorders>
            <w:noWrap/>
            <w:vAlign w:val="bottom"/>
          </w:tcPr>
          <w:p w:rsidR="00B83890" w:rsidRPr="0064748F" w:rsidRDefault="00B83890" w:rsidP="006E6DC8">
            <w:pPr>
              <w:jc w:val="right"/>
              <w:rPr>
                <w:rFonts w:cs="Arial"/>
                <w:sz w:val="18"/>
                <w:szCs w:val="18"/>
              </w:rPr>
            </w:pPr>
            <w:r w:rsidRPr="0064748F">
              <w:rPr>
                <w:rFonts w:cs="Arial"/>
                <w:sz w:val="18"/>
                <w:szCs w:val="18"/>
              </w:rPr>
              <w:t>0</w:t>
            </w:r>
          </w:p>
        </w:tc>
        <w:tc>
          <w:tcPr>
            <w:tcW w:w="853"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xml:space="preserve">0 </w:t>
            </w:r>
          </w:p>
        </w:tc>
      </w:tr>
      <w:tr w:rsidR="00B83890" w:rsidRPr="0064748F" w:rsidTr="006E6DC8">
        <w:trPr>
          <w:trHeight w:val="225"/>
        </w:trPr>
        <w:tc>
          <w:tcPr>
            <w:tcW w:w="4320" w:type="dxa"/>
            <w:tcBorders>
              <w:top w:val="nil"/>
              <w:left w:val="nil"/>
              <w:bottom w:val="nil"/>
              <w:right w:val="nil"/>
            </w:tcBorders>
            <w:noWrap/>
            <w:vAlign w:val="bottom"/>
          </w:tcPr>
          <w:p w:rsidR="00B83890" w:rsidRPr="0064748F" w:rsidRDefault="00B83890" w:rsidP="006E6DC8">
            <w:pPr>
              <w:rPr>
                <w:rFonts w:cs="Arial"/>
                <w:b/>
                <w:bCs/>
                <w:sz w:val="18"/>
                <w:szCs w:val="18"/>
              </w:rPr>
            </w:pPr>
            <w:r w:rsidRPr="0064748F">
              <w:rPr>
                <w:rFonts w:cs="Arial"/>
                <w:b/>
                <w:bCs/>
                <w:sz w:val="18"/>
                <w:szCs w:val="18"/>
              </w:rPr>
              <w:t>Investments and other contractual financial assets</w:t>
            </w:r>
          </w:p>
        </w:tc>
        <w:tc>
          <w:tcPr>
            <w:tcW w:w="960"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w:t>
            </w:r>
          </w:p>
        </w:tc>
        <w:tc>
          <w:tcPr>
            <w:tcW w:w="980" w:type="dxa"/>
            <w:tcBorders>
              <w:top w:val="nil"/>
              <w:left w:val="nil"/>
              <w:bottom w:val="nil"/>
              <w:right w:val="nil"/>
            </w:tcBorders>
            <w:noWrap/>
            <w:vAlign w:val="bottom"/>
          </w:tcPr>
          <w:p w:rsidR="00B83890" w:rsidRPr="0064748F" w:rsidRDefault="00B83890" w:rsidP="006E6DC8">
            <w:pPr>
              <w:jc w:val="right"/>
              <w:rPr>
                <w:rFonts w:cs="Arial"/>
                <w:sz w:val="18"/>
                <w:szCs w:val="18"/>
              </w:rPr>
            </w:pPr>
          </w:p>
        </w:tc>
        <w:tc>
          <w:tcPr>
            <w:tcW w:w="1260"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w:t>
            </w:r>
          </w:p>
        </w:tc>
        <w:tc>
          <w:tcPr>
            <w:tcW w:w="1000" w:type="dxa"/>
            <w:tcBorders>
              <w:top w:val="nil"/>
              <w:left w:val="nil"/>
              <w:bottom w:val="nil"/>
              <w:right w:val="nil"/>
            </w:tcBorders>
            <w:noWrap/>
            <w:vAlign w:val="bottom"/>
          </w:tcPr>
          <w:p w:rsidR="00B83890" w:rsidRPr="0064748F" w:rsidRDefault="00B83890" w:rsidP="006E6DC8">
            <w:pPr>
              <w:jc w:val="right"/>
              <w:rPr>
                <w:rFonts w:cs="Arial"/>
                <w:sz w:val="18"/>
                <w:szCs w:val="18"/>
              </w:rPr>
            </w:pPr>
          </w:p>
        </w:tc>
        <w:tc>
          <w:tcPr>
            <w:tcW w:w="853" w:type="dxa"/>
            <w:tcBorders>
              <w:top w:val="nil"/>
              <w:left w:val="nil"/>
              <w:bottom w:val="nil"/>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w:t>
            </w:r>
          </w:p>
        </w:tc>
      </w:tr>
      <w:tr w:rsidR="00B83890" w:rsidRPr="0064748F" w:rsidTr="006E6DC8">
        <w:trPr>
          <w:trHeight w:val="225"/>
        </w:trPr>
        <w:tc>
          <w:tcPr>
            <w:tcW w:w="4320" w:type="dxa"/>
            <w:tcBorders>
              <w:top w:val="nil"/>
              <w:left w:val="nil"/>
              <w:bottom w:val="single" w:sz="4" w:space="0" w:color="auto"/>
              <w:right w:val="nil"/>
            </w:tcBorders>
            <w:noWrap/>
            <w:vAlign w:val="bottom"/>
          </w:tcPr>
          <w:p w:rsidR="00B83890" w:rsidRPr="0064748F" w:rsidRDefault="00B83890" w:rsidP="006E6DC8">
            <w:pPr>
              <w:rPr>
                <w:rFonts w:cs="Arial"/>
                <w:sz w:val="18"/>
                <w:szCs w:val="18"/>
              </w:rPr>
            </w:pPr>
            <w:r w:rsidRPr="0064748F">
              <w:rPr>
                <w:rFonts w:cs="Arial"/>
                <w:sz w:val="18"/>
                <w:szCs w:val="18"/>
              </w:rPr>
              <w:t>Short-term cash investments</w:t>
            </w:r>
          </w:p>
        </w:tc>
        <w:tc>
          <w:tcPr>
            <w:tcW w:w="960" w:type="dxa"/>
            <w:tcBorders>
              <w:top w:val="nil"/>
              <w:left w:val="nil"/>
              <w:bottom w:val="single" w:sz="4" w:space="0" w:color="auto"/>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 xml:space="preserve">25,569 </w:t>
            </w:r>
          </w:p>
        </w:tc>
        <w:tc>
          <w:tcPr>
            <w:tcW w:w="980" w:type="dxa"/>
            <w:tcBorders>
              <w:top w:val="nil"/>
              <w:left w:val="nil"/>
              <w:bottom w:val="single" w:sz="4" w:space="0" w:color="auto"/>
              <w:right w:val="nil"/>
            </w:tcBorders>
            <w:noWrap/>
            <w:vAlign w:val="bottom"/>
          </w:tcPr>
          <w:p w:rsidR="00B83890" w:rsidRPr="0064748F" w:rsidRDefault="00B83890" w:rsidP="006E6DC8">
            <w:pPr>
              <w:jc w:val="right"/>
              <w:rPr>
                <w:rFonts w:cs="Arial"/>
                <w:sz w:val="18"/>
                <w:szCs w:val="18"/>
              </w:rPr>
            </w:pPr>
            <w:r w:rsidRPr="0064748F">
              <w:rPr>
                <w:rFonts w:cs="Arial"/>
                <w:sz w:val="18"/>
                <w:szCs w:val="18"/>
              </w:rPr>
              <w:t xml:space="preserve">25,569 </w:t>
            </w:r>
          </w:p>
        </w:tc>
        <w:tc>
          <w:tcPr>
            <w:tcW w:w="1260" w:type="dxa"/>
            <w:tcBorders>
              <w:top w:val="nil"/>
              <w:left w:val="nil"/>
              <w:bottom w:val="single" w:sz="4" w:space="0" w:color="auto"/>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0 </w:t>
            </w:r>
          </w:p>
        </w:tc>
        <w:tc>
          <w:tcPr>
            <w:tcW w:w="1000" w:type="dxa"/>
            <w:tcBorders>
              <w:top w:val="nil"/>
              <w:left w:val="nil"/>
              <w:bottom w:val="single" w:sz="4" w:space="0" w:color="auto"/>
              <w:right w:val="nil"/>
            </w:tcBorders>
            <w:noWrap/>
            <w:vAlign w:val="bottom"/>
          </w:tcPr>
          <w:p w:rsidR="00B83890" w:rsidRPr="0064748F" w:rsidRDefault="00B83890" w:rsidP="006E6DC8">
            <w:pPr>
              <w:jc w:val="right"/>
              <w:rPr>
                <w:rFonts w:cs="Arial"/>
                <w:sz w:val="18"/>
                <w:szCs w:val="18"/>
              </w:rPr>
            </w:pPr>
            <w:r w:rsidRPr="0064748F">
              <w:rPr>
                <w:rFonts w:cs="Arial"/>
                <w:sz w:val="18"/>
                <w:szCs w:val="18"/>
              </w:rPr>
              <w:t> 0</w:t>
            </w:r>
          </w:p>
        </w:tc>
        <w:tc>
          <w:tcPr>
            <w:tcW w:w="853" w:type="dxa"/>
            <w:tcBorders>
              <w:top w:val="nil"/>
              <w:left w:val="nil"/>
              <w:bottom w:val="single" w:sz="4" w:space="0" w:color="auto"/>
              <w:right w:val="nil"/>
            </w:tcBorders>
            <w:shd w:val="clear" w:color="000000" w:fill="D8D8D8"/>
            <w:noWrap/>
            <w:vAlign w:val="bottom"/>
          </w:tcPr>
          <w:p w:rsidR="00B83890" w:rsidRPr="0064748F" w:rsidRDefault="00B83890" w:rsidP="006E6DC8">
            <w:pPr>
              <w:jc w:val="right"/>
              <w:rPr>
                <w:rFonts w:cs="Arial"/>
                <w:sz w:val="18"/>
                <w:szCs w:val="18"/>
              </w:rPr>
            </w:pPr>
            <w:r w:rsidRPr="0064748F">
              <w:rPr>
                <w:rFonts w:cs="Arial"/>
                <w:sz w:val="18"/>
                <w:szCs w:val="18"/>
              </w:rPr>
              <w:t>0 </w:t>
            </w:r>
          </w:p>
        </w:tc>
      </w:tr>
      <w:tr w:rsidR="00B83890" w:rsidRPr="0064748F" w:rsidTr="006E6DC8">
        <w:trPr>
          <w:trHeight w:val="225"/>
        </w:trPr>
        <w:tc>
          <w:tcPr>
            <w:tcW w:w="4320" w:type="dxa"/>
            <w:tcBorders>
              <w:top w:val="nil"/>
              <w:left w:val="nil"/>
              <w:bottom w:val="single" w:sz="4" w:space="0" w:color="auto"/>
              <w:right w:val="nil"/>
            </w:tcBorders>
            <w:noWrap/>
            <w:vAlign w:val="bottom"/>
          </w:tcPr>
          <w:p w:rsidR="00B83890" w:rsidRPr="0064748F" w:rsidRDefault="00B83890" w:rsidP="006E6DC8">
            <w:pPr>
              <w:rPr>
                <w:rFonts w:cs="Arial"/>
                <w:b/>
                <w:bCs/>
                <w:sz w:val="18"/>
                <w:szCs w:val="18"/>
              </w:rPr>
            </w:pPr>
            <w:r w:rsidRPr="0064748F">
              <w:rPr>
                <w:rFonts w:cs="Arial"/>
                <w:b/>
                <w:bCs/>
                <w:sz w:val="18"/>
                <w:szCs w:val="18"/>
              </w:rPr>
              <w:t>Total</w:t>
            </w:r>
          </w:p>
        </w:tc>
        <w:tc>
          <w:tcPr>
            <w:tcW w:w="960" w:type="dxa"/>
            <w:tcBorders>
              <w:top w:val="nil"/>
              <w:left w:val="nil"/>
              <w:bottom w:val="single" w:sz="4" w:space="0" w:color="auto"/>
              <w:right w:val="nil"/>
            </w:tcBorders>
            <w:shd w:val="clear" w:color="000000" w:fill="D8D8D8"/>
            <w:noWrap/>
            <w:vAlign w:val="bottom"/>
          </w:tcPr>
          <w:p w:rsidR="00B83890" w:rsidRPr="0064748F" w:rsidRDefault="00B83890" w:rsidP="006E6DC8">
            <w:pPr>
              <w:jc w:val="right"/>
              <w:rPr>
                <w:rFonts w:cs="Arial"/>
                <w:b/>
                <w:bCs/>
                <w:sz w:val="18"/>
                <w:szCs w:val="18"/>
              </w:rPr>
            </w:pPr>
            <w:r w:rsidRPr="0064748F">
              <w:rPr>
                <w:rFonts w:cs="Arial"/>
                <w:b/>
                <w:bCs/>
                <w:sz w:val="18"/>
                <w:szCs w:val="18"/>
              </w:rPr>
              <w:t xml:space="preserve">28,412 </w:t>
            </w:r>
          </w:p>
        </w:tc>
        <w:tc>
          <w:tcPr>
            <w:tcW w:w="980" w:type="dxa"/>
            <w:tcBorders>
              <w:top w:val="nil"/>
              <w:left w:val="nil"/>
              <w:bottom w:val="single" w:sz="4" w:space="0" w:color="auto"/>
              <w:right w:val="nil"/>
            </w:tcBorders>
            <w:noWrap/>
            <w:vAlign w:val="bottom"/>
          </w:tcPr>
          <w:p w:rsidR="00B83890" w:rsidRPr="0064748F" w:rsidRDefault="00B83890" w:rsidP="006E6DC8">
            <w:pPr>
              <w:jc w:val="right"/>
              <w:rPr>
                <w:rFonts w:cs="Arial"/>
                <w:b/>
                <w:bCs/>
                <w:sz w:val="18"/>
                <w:szCs w:val="18"/>
              </w:rPr>
            </w:pPr>
            <w:r w:rsidRPr="0064748F">
              <w:rPr>
                <w:rFonts w:cs="Arial"/>
                <w:b/>
                <w:bCs/>
                <w:sz w:val="18"/>
                <w:szCs w:val="18"/>
              </w:rPr>
              <w:t xml:space="preserve">26,738 </w:t>
            </w:r>
          </w:p>
        </w:tc>
        <w:tc>
          <w:tcPr>
            <w:tcW w:w="1260" w:type="dxa"/>
            <w:tcBorders>
              <w:top w:val="nil"/>
              <w:left w:val="nil"/>
              <w:bottom w:val="single" w:sz="4" w:space="0" w:color="auto"/>
              <w:right w:val="nil"/>
            </w:tcBorders>
            <w:shd w:val="clear" w:color="000000" w:fill="D8D8D8"/>
            <w:noWrap/>
            <w:vAlign w:val="bottom"/>
          </w:tcPr>
          <w:p w:rsidR="00B83890" w:rsidRPr="0064748F" w:rsidRDefault="00B83890" w:rsidP="006E6DC8">
            <w:pPr>
              <w:jc w:val="right"/>
              <w:rPr>
                <w:rFonts w:cs="Arial"/>
                <w:b/>
                <w:bCs/>
                <w:sz w:val="18"/>
                <w:szCs w:val="18"/>
              </w:rPr>
            </w:pPr>
            <w:r w:rsidRPr="0064748F">
              <w:rPr>
                <w:rFonts w:cs="Arial"/>
                <w:b/>
                <w:bCs/>
                <w:sz w:val="18"/>
                <w:szCs w:val="18"/>
              </w:rPr>
              <w:t xml:space="preserve">1,674 </w:t>
            </w:r>
          </w:p>
        </w:tc>
        <w:tc>
          <w:tcPr>
            <w:tcW w:w="1000" w:type="dxa"/>
            <w:tcBorders>
              <w:top w:val="nil"/>
              <w:left w:val="nil"/>
              <w:bottom w:val="single" w:sz="4" w:space="0" w:color="auto"/>
              <w:right w:val="nil"/>
            </w:tcBorders>
            <w:noWrap/>
            <w:vAlign w:val="bottom"/>
          </w:tcPr>
          <w:p w:rsidR="00B83890" w:rsidRPr="0064748F" w:rsidRDefault="00B83890" w:rsidP="006E6DC8">
            <w:pPr>
              <w:jc w:val="right"/>
              <w:rPr>
                <w:rFonts w:cs="Arial"/>
                <w:b/>
                <w:bCs/>
                <w:sz w:val="18"/>
                <w:szCs w:val="18"/>
              </w:rPr>
            </w:pPr>
            <w:r w:rsidRPr="0064748F">
              <w:rPr>
                <w:rFonts w:cs="Arial"/>
                <w:b/>
                <w:bCs/>
                <w:sz w:val="18"/>
                <w:szCs w:val="18"/>
              </w:rPr>
              <w:t>0</w:t>
            </w:r>
          </w:p>
        </w:tc>
        <w:tc>
          <w:tcPr>
            <w:tcW w:w="853" w:type="dxa"/>
            <w:tcBorders>
              <w:top w:val="nil"/>
              <w:left w:val="nil"/>
              <w:bottom w:val="single" w:sz="4" w:space="0" w:color="auto"/>
              <w:right w:val="nil"/>
            </w:tcBorders>
            <w:shd w:val="clear" w:color="000000" w:fill="D8D8D8"/>
            <w:noWrap/>
            <w:vAlign w:val="bottom"/>
          </w:tcPr>
          <w:p w:rsidR="00B83890" w:rsidRPr="0064748F" w:rsidRDefault="00B83890" w:rsidP="006E6DC8">
            <w:pPr>
              <w:jc w:val="right"/>
              <w:rPr>
                <w:rFonts w:cs="Arial"/>
                <w:b/>
                <w:bCs/>
                <w:sz w:val="18"/>
                <w:szCs w:val="18"/>
              </w:rPr>
            </w:pPr>
            <w:r w:rsidRPr="0064748F">
              <w:rPr>
                <w:rFonts w:cs="Arial"/>
                <w:b/>
                <w:bCs/>
                <w:sz w:val="18"/>
                <w:szCs w:val="18"/>
              </w:rPr>
              <w:t xml:space="preserve">0 </w:t>
            </w:r>
          </w:p>
        </w:tc>
      </w:tr>
    </w:tbl>
    <w:p w:rsidR="00B83890" w:rsidRDefault="00B83890" w:rsidP="00B83890"/>
    <w:p w:rsidR="00B83890" w:rsidRPr="007B252F" w:rsidRDefault="00B83890" w:rsidP="00B83890"/>
    <w:p w:rsidR="0099724A" w:rsidRDefault="0099724A">
      <w:pPr>
        <w:keepNext w:val="0"/>
        <w:spacing w:after="200" w:line="276" w:lineRule="auto"/>
        <w:outlineLvl w:val="9"/>
        <w:rPr>
          <w:b/>
        </w:rPr>
      </w:pPr>
      <w:r>
        <w:br w:type="page"/>
      </w:r>
    </w:p>
    <w:p w:rsidR="00B83890" w:rsidRDefault="00B83890" w:rsidP="00B83890">
      <w:pPr>
        <w:pStyle w:val="Heading2"/>
        <w:tabs>
          <w:tab w:val="left" w:pos="426"/>
        </w:tabs>
        <w:spacing w:before="120"/>
        <w:rPr>
          <w:sz w:val="22"/>
          <w:szCs w:val="22"/>
        </w:rPr>
      </w:pPr>
      <w:r>
        <w:rPr>
          <w:sz w:val="22"/>
          <w:szCs w:val="22"/>
        </w:rPr>
        <w:lastRenderedPageBreak/>
        <w:t>19</w:t>
      </w:r>
      <w:r w:rsidRPr="00D605F7">
        <w:rPr>
          <w:sz w:val="22"/>
          <w:szCs w:val="22"/>
        </w:rPr>
        <w:t>.</w:t>
      </w:r>
      <w:r w:rsidRPr="00D605F7">
        <w:rPr>
          <w:sz w:val="22"/>
          <w:szCs w:val="22"/>
        </w:rPr>
        <w:tab/>
        <w:t>FINANCIAL INSTRUMENTS (CONT’D)</w:t>
      </w:r>
    </w:p>
    <w:p w:rsidR="00B83890" w:rsidRPr="004901CD" w:rsidRDefault="00B83890" w:rsidP="00B83890"/>
    <w:p w:rsidR="00B83890" w:rsidRPr="00417D65" w:rsidRDefault="00B83890" w:rsidP="002F6ECA">
      <w:pPr>
        <w:pStyle w:val="Heading4"/>
      </w:pPr>
      <w:r>
        <w:t>(d</w:t>
      </w:r>
      <w:r w:rsidRPr="00417D65">
        <w:t>) Liquidity Risk</w:t>
      </w:r>
    </w:p>
    <w:p w:rsidR="00B83890" w:rsidRDefault="00B83890" w:rsidP="00B83890">
      <w:pPr>
        <w:tabs>
          <w:tab w:val="left" w:pos="525"/>
        </w:tabs>
        <w:rPr>
          <w:rFonts w:cs="Arial"/>
          <w:b/>
          <w:color w:val="FF0000"/>
        </w:rPr>
      </w:pPr>
    </w:p>
    <w:p w:rsidR="00B83890" w:rsidRPr="00284758" w:rsidRDefault="00B83890" w:rsidP="00B83890">
      <w:pPr>
        <w:tabs>
          <w:tab w:val="left" w:pos="525"/>
        </w:tabs>
        <w:rPr>
          <w:rFonts w:cs="Arial"/>
        </w:rPr>
      </w:pPr>
      <w:r w:rsidRPr="00284758">
        <w:rPr>
          <w:rFonts w:cs="Arial"/>
        </w:rPr>
        <w:t>Liquidity risk arises when the entity is unable to meet its</w:t>
      </w:r>
      <w:r>
        <w:rPr>
          <w:rFonts w:cs="Arial"/>
        </w:rPr>
        <w:t xml:space="preserve"> contractual</w:t>
      </w:r>
      <w:r w:rsidRPr="00284758">
        <w:rPr>
          <w:rFonts w:cs="Arial"/>
        </w:rPr>
        <w:t xml:space="preserve"> financial obligations as they fall due. The entity operates under the Government fair payments policy of settling financial obligations within 30 days and in the event of a dispute, makes payments within 30 days from the date of resolution. It also continuously manages risk through monitoring future cash flows and maturities planning to ensure adequate holding of high quality liquid assets and dealing in highly liquid markets.</w:t>
      </w:r>
    </w:p>
    <w:p w:rsidR="00B83890" w:rsidRPr="00DA3C3A" w:rsidRDefault="00B83890" w:rsidP="00B83890">
      <w:pPr>
        <w:tabs>
          <w:tab w:val="left" w:pos="525"/>
        </w:tabs>
        <w:rPr>
          <w:rFonts w:cs="Arial"/>
          <w:b/>
          <w:color w:val="FF0000"/>
        </w:rPr>
      </w:pPr>
    </w:p>
    <w:p w:rsidR="00B83890" w:rsidRDefault="00B83890" w:rsidP="00B83890">
      <w:pPr>
        <w:tabs>
          <w:tab w:val="left" w:pos="525"/>
        </w:tabs>
        <w:rPr>
          <w:rFonts w:cs="Arial"/>
        </w:rPr>
      </w:pPr>
      <w:r>
        <w:rPr>
          <w:rFonts w:cs="Arial"/>
        </w:rPr>
        <w:t>The entity’s</w:t>
      </w:r>
      <w:r w:rsidRPr="00DA3C3A">
        <w:rPr>
          <w:rFonts w:cs="Arial"/>
        </w:rPr>
        <w:t xml:space="preserve"> exposure to liquidity risk is deemed insignificant based on prior periods’ data and current assessment of risk. Cash for unexpected events is generally sourced from </w:t>
      </w:r>
      <w:r>
        <w:rPr>
          <w:rFonts w:cs="Arial"/>
        </w:rPr>
        <w:t>cash and cash equivalent assets.</w:t>
      </w:r>
    </w:p>
    <w:p w:rsidR="00B83890" w:rsidRDefault="00B83890" w:rsidP="00B83890">
      <w:pPr>
        <w:tabs>
          <w:tab w:val="left" w:pos="525"/>
        </w:tabs>
        <w:rPr>
          <w:rFonts w:cs="Arial"/>
        </w:rPr>
      </w:pPr>
    </w:p>
    <w:p w:rsidR="00B83890" w:rsidRDefault="00B83890" w:rsidP="00B83890">
      <w:r w:rsidRPr="00DA3C3A">
        <w:rPr>
          <w:rFonts w:cs="Arial"/>
        </w:rPr>
        <w:t>Maximum exposure to liquidity risk is the carrying amounts of financial liabilities</w:t>
      </w:r>
    </w:p>
    <w:p w:rsidR="00B83890" w:rsidRDefault="00B83890" w:rsidP="00B83890"/>
    <w:tbl>
      <w:tblPr>
        <w:tblW w:w="7860" w:type="dxa"/>
        <w:tblInd w:w="93" w:type="dxa"/>
        <w:tblLook w:val="00A0" w:firstRow="1" w:lastRow="0" w:firstColumn="1" w:lastColumn="0" w:noHBand="0" w:noVBand="0"/>
        <w:tblCaption w:val="Financial Instruments: Liquidity Risk"/>
        <w:tblDescription w:val="This table shows the maturity analysis of contractual financial liabilities for 2012–13 with comparison to 2011–12."/>
      </w:tblPr>
      <w:tblGrid>
        <w:gridCol w:w="2340"/>
        <w:gridCol w:w="1320"/>
        <w:gridCol w:w="1320"/>
        <w:gridCol w:w="960"/>
        <w:gridCol w:w="960"/>
        <w:gridCol w:w="960"/>
      </w:tblGrid>
      <w:tr w:rsidR="00B83890" w:rsidRPr="00495082" w:rsidTr="006E6DC8">
        <w:trPr>
          <w:trHeight w:val="240"/>
        </w:trPr>
        <w:tc>
          <w:tcPr>
            <w:tcW w:w="4980" w:type="dxa"/>
            <w:gridSpan w:val="3"/>
            <w:tcBorders>
              <w:top w:val="nil"/>
              <w:left w:val="nil"/>
              <w:bottom w:val="single" w:sz="4" w:space="0" w:color="auto"/>
              <w:right w:val="nil"/>
            </w:tcBorders>
            <w:noWrap/>
            <w:vAlign w:val="bottom"/>
          </w:tcPr>
          <w:p w:rsidR="00B83890" w:rsidRPr="00495082" w:rsidRDefault="00B83890" w:rsidP="006E6DC8">
            <w:pPr>
              <w:rPr>
                <w:rFonts w:cs="Arial"/>
                <w:b/>
                <w:bCs/>
                <w:sz w:val="18"/>
                <w:szCs w:val="18"/>
              </w:rPr>
            </w:pPr>
            <w:r w:rsidRPr="00495082">
              <w:rPr>
                <w:rFonts w:cs="Arial"/>
                <w:b/>
                <w:bCs/>
                <w:sz w:val="18"/>
                <w:szCs w:val="18"/>
              </w:rPr>
              <w:t>Maturity analysis of contractual financial liabilities</w:t>
            </w:r>
          </w:p>
        </w:tc>
        <w:tc>
          <w:tcPr>
            <w:tcW w:w="960" w:type="dxa"/>
            <w:tcBorders>
              <w:top w:val="nil"/>
              <w:left w:val="nil"/>
              <w:bottom w:val="single" w:sz="4" w:space="0" w:color="auto"/>
              <w:right w:val="nil"/>
            </w:tcBorders>
            <w:noWrap/>
            <w:vAlign w:val="bottom"/>
          </w:tcPr>
          <w:p w:rsidR="00B83890" w:rsidRPr="00495082" w:rsidRDefault="00B83890" w:rsidP="006E6DC8">
            <w:pPr>
              <w:rPr>
                <w:rFonts w:cs="Arial"/>
                <w:b/>
                <w:bCs/>
                <w:i/>
                <w:iCs/>
                <w:sz w:val="16"/>
                <w:szCs w:val="16"/>
              </w:rPr>
            </w:pPr>
            <w:r w:rsidRPr="00495082">
              <w:rPr>
                <w:rFonts w:cs="Arial"/>
                <w:b/>
                <w:bCs/>
                <w:i/>
                <w:iCs/>
                <w:sz w:val="16"/>
                <w:szCs w:val="16"/>
              </w:rPr>
              <w:t> </w:t>
            </w:r>
          </w:p>
        </w:tc>
        <w:tc>
          <w:tcPr>
            <w:tcW w:w="960" w:type="dxa"/>
            <w:tcBorders>
              <w:top w:val="nil"/>
              <w:left w:val="nil"/>
              <w:bottom w:val="single" w:sz="4" w:space="0" w:color="auto"/>
              <w:right w:val="nil"/>
            </w:tcBorders>
            <w:noWrap/>
            <w:vAlign w:val="bottom"/>
          </w:tcPr>
          <w:p w:rsidR="00B83890" w:rsidRPr="00495082" w:rsidRDefault="00B83890" w:rsidP="006E6DC8">
            <w:pPr>
              <w:rPr>
                <w:rFonts w:cs="Arial"/>
                <w:sz w:val="16"/>
                <w:szCs w:val="16"/>
              </w:rPr>
            </w:pPr>
            <w:r w:rsidRPr="00495082">
              <w:rPr>
                <w:rFonts w:cs="Arial"/>
                <w:sz w:val="16"/>
                <w:szCs w:val="16"/>
              </w:rPr>
              <w:t> </w:t>
            </w:r>
          </w:p>
        </w:tc>
        <w:tc>
          <w:tcPr>
            <w:tcW w:w="960" w:type="dxa"/>
            <w:tcBorders>
              <w:top w:val="nil"/>
              <w:left w:val="nil"/>
              <w:bottom w:val="single" w:sz="4" w:space="0" w:color="auto"/>
              <w:right w:val="nil"/>
            </w:tcBorders>
            <w:noWrap/>
            <w:vAlign w:val="bottom"/>
          </w:tcPr>
          <w:p w:rsidR="00B83890" w:rsidRPr="00495082" w:rsidRDefault="00B83890" w:rsidP="006E6DC8">
            <w:pPr>
              <w:jc w:val="right"/>
              <w:rPr>
                <w:rFonts w:cs="Arial"/>
                <w:b/>
                <w:bCs/>
                <w:i/>
                <w:iCs/>
                <w:sz w:val="18"/>
                <w:szCs w:val="18"/>
              </w:rPr>
            </w:pPr>
            <w:r w:rsidRPr="00495082">
              <w:rPr>
                <w:rFonts w:cs="Arial"/>
                <w:b/>
                <w:bCs/>
                <w:i/>
                <w:iCs/>
                <w:sz w:val="18"/>
                <w:szCs w:val="18"/>
              </w:rPr>
              <w:t>$ '000</w:t>
            </w:r>
          </w:p>
        </w:tc>
      </w:tr>
      <w:tr w:rsidR="00B83890" w:rsidRPr="00495082" w:rsidTr="006E6DC8">
        <w:trPr>
          <w:trHeight w:val="450"/>
        </w:trPr>
        <w:tc>
          <w:tcPr>
            <w:tcW w:w="2340" w:type="dxa"/>
            <w:tcBorders>
              <w:top w:val="nil"/>
              <w:left w:val="nil"/>
              <w:bottom w:val="nil"/>
              <w:right w:val="nil"/>
            </w:tcBorders>
            <w:noWrap/>
            <w:vAlign w:val="bottom"/>
          </w:tcPr>
          <w:p w:rsidR="00B83890" w:rsidRPr="00495082" w:rsidRDefault="00B83890" w:rsidP="006E6DC8">
            <w:pPr>
              <w:rPr>
                <w:rFonts w:cs="Arial"/>
                <w:b/>
                <w:bCs/>
                <w:sz w:val="16"/>
                <w:szCs w:val="16"/>
              </w:rPr>
            </w:pPr>
            <w:r>
              <w:rPr>
                <w:rFonts w:cs="Arial"/>
                <w:b/>
                <w:bCs/>
                <w:sz w:val="16"/>
                <w:szCs w:val="16"/>
              </w:rPr>
              <w:t>2013</w:t>
            </w:r>
          </w:p>
        </w:tc>
        <w:tc>
          <w:tcPr>
            <w:tcW w:w="1320" w:type="dxa"/>
            <w:tcBorders>
              <w:top w:val="nil"/>
              <w:left w:val="nil"/>
              <w:bottom w:val="nil"/>
              <w:right w:val="nil"/>
            </w:tcBorders>
            <w:shd w:val="clear" w:color="000000" w:fill="D8D8D8"/>
          </w:tcPr>
          <w:p w:rsidR="00B83890" w:rsidRPr="00495082" w:rsidRDefault="00B83890" w:rsidP="006E6DC8">
            <w:pPr>
              <w:rPr>
                <w:rFonts w:cs="Arial"/>
                <w:sz w:val="16"/>
                <w:szCs w:val="16"/>
              </w:rPr>
            </w:pPr>
            <w:r w:rsidRPr="00495082">
              <w:rPr>
                <w:rFonts w:cs="Arial"/>
                <w:sz w:val="16"/>
                <w:szCs w:val="16"/>
              </w:rPr>
              <w:t>Carrying amount</w:t>
            </w:r>
          </w:p>
        </w:tc>
        <w:tc>
          <w:tcPr>
            <w:tcW w:w="1320" w:type="dxa"/>
            <w:tcBorders>
              <w:top w:val="nil"/>
              <w:left w:val="nil"/>
              <w:bottom w:val="nil"/>
              <w:right w:val="nil"/>
            </w:tcBorders>
          </w:tcPr>
          <w:p w:rsidR="00B83890" w:rsidRPr="00495082" w:rsidRDefault="00B83890" w:rsidP="006E6DC8">
            <w:pPr>
              <w:rPr>
                <w:rFonts w:cs="Arial"/>
                <w:sz w:val="16"/>
                <w:szCs w:val="16"/>
              </w:rPr>
            </w:pPr>
            <w:r w:rsidRPr="00495082">
              <w:rPr>
                <w:rFonts w:cs="Arial"/>
                <w:sz w:val="16"/>
                <w:szCs w:val="16"/>
              </w:rPr>
              <w:t>Nominal Amount</w:t>
            </w:r>
          </w:p>
        </w:tc>
        <w:tc>
          <w:tcPr>
            <w:tcW w:w="2880" w:type="dxa"/>
            <w:gridSpan w:val="3"/>
            <w:tcBorders>
              <w:top w:val="single" w:sz="4" w:space="0" w:color="auto"/>
              <w:left w:val="nil"/>
              <w:bottom w:val="single" w:sz="4" w:space="0" w:color="auto"/>
              <w:right w:val="nil"/>
            </w:tcBorders>
            <w:noWrap/>
          </w:tcPr>
          <w:p w:rsidR="00B83890" w:rsidRPr="00495082" w:rsidRDefault="00B83890" w:rsidP="006E6DC8">
            <w:pPr>
              <w:jc w:val="center"/>
              <w:rPr>
                <w:rFonts w:cs="Arial"/>
                <w:sz w:val="16"/>
                <w:szCs w:val="16"/>
              </w:rPr>
            </w:pPr>
            <w:r w:rsidRPr="00495082">
              <w:rPr>
                <w:rFonts w:cs="Arial"/>
                <w:sz w:val="16"/>
                <w:szCs w:val="16"/>
              </w:rPr>
              <w:t>Past due but not impaired</w:t>
            </w:r>
          </w:p>
        </w:tc>
      </w:tr>
      <w:tr w:rsidR="00B83890" w:rsidRPr="00495082" w:rsidTr="006E6DC8">
        <w:trPr>
          <w:trHeight w:val="450"/>
        </w:trPr>
        <w:tc>
          <w:tcPr>
            <w:tcW w:w="2340" w:type="dxa"/>
            <w:tcBorders>
              <w:top w:val="nil"/>
              <w:left w:val="nil"/>
              <w:bottom w:val="single" w:sz="4" w:space="0" w:color="auto"/>
              <w:right w:val="nil"/>
            </w:tcBorders>
            <w:noWrap/>
            <w:vAlign w:val="bottom"/>
          </w:tcPr>
          <w:p w:rsidR="00B83890" w:rsidRPr="00495082" w:rsidRDefault="00B83890" w:rsidP="006E6DC8">
            <w:pPr>
              <w:rPr>
                <w:rFonts w:cs="Arial"/>
                <w:sz w:val="16"/>
                <w:szCs w:val="16"/>
              </w:rPr>
            </w:pPr>
            <w:r w:rsidRPr="00495082">
              <w:rPr>
                <w:rFonts w:cs="Arial"/>
                <w:sz w:val="16"/>
                <w:szCs w:val="16"/>
              </w:rPr>
              <w:t> </w:t>
            </w:r>
          </w:p>
        </w:tc>
        <w:tc>
          <w:tcPr>
            <w:tcW w:w="1320" w:type="dxa"/>
            <w:tcBorders>
              <w:top w:val="nil"/>
              <w:left w:val="nil"/>
              <w:bottom w:val="single" w:sz="4" w:space="0" w:color="auto"/>
              <w:right w:val="nil"/>
            </w:tcBorders>
            <w:shd w:val="clear" w:color="000000" w:fill="D8D8D8"/>
          </w:tcPr>
          <w:p w:rsidR="00B83890" w:rsidRPr="00495082" w:rsidRDefault="00B83890" w:rsidP="006E6DC8">
            <w:pPr>
              <w:rPr>
                <w:rFonts w:cs="Arial"/>
                <w:sz w:val="16"/>
                <w:szCs w:val="16"/>
              </w:rPr>
            </w:pPr>
            <w:r w:rsidRPr="00495082">
              <w:rPr>
                <w:rFonts w:cs="Arial"/>
                <w:sz w:val="16"/>
                <w:szCs w:val="16"/>
              </w:rPr>
              <w:t> </w:t>
            </w:r>
          </w:p>
        </w:tc>
        <w:tc>
          <w:tcPr>
            <w:tcW w:w="1320" w:type="dxa"/>
            <w:tcBorders>
              <w:top w:val="nil"/>
              <w:left w:val="nil"/>
              <w:bottom w:val="single" w:sz="4" w:space="0" w:color="auto"/>
              <w:right w:val="nil"/>
            </w:tcBorders>
          </w:tcPr>
          <w:p w:rsidR="00B83890" w:rsidRPr="00495082" w:rsidRDefault="00B83890" w:rsidP="006E6DC8">
            <w:pPr>
              <w:rPr>
                <w:rFonts w:cs="Arial"/>
                <w:sz w:val="16"/>
                <w:szCs w:val="16"/>
              </w:rPr>
            </w:pPr>
            <w:r w:rsidRPr="00495082">
              <w:rPr>
                <w:rFonts w:cs="Arial"/>
                <w:sz w:val="16"/>
                <w:szCs w:val="16"/>
              </w:rPr>
              <w:t> </w:t>
            </w:r>
          </w:p>
        </w:tc>
        <w:tc>
          <w:tcPr>
            <w:tcW w:w="960" w:type="dxa"/>
            <w:tcBorders>
              <w:top w:val="nil"/>
              <w:left w:val="nil"/>
              <w:bottom w:val="single" w:sz="4" w:space="0" w:color="auto"/>
              <w:right w:val="nil"/>
            </w:tcBorders>
            <w:shd w:val="clear" w:color="000000" w:fill="D8D8D8"/>
          </w:tcPr>
          <w:p w:rsidR="00B83890" w:rsidRPr="00495082" w:rsidRDefault="00B83890" w:rsidP="006E6DC8">
            <w:pPr>
              <w:rPr>
                <w:rFonts w:cs="Arial"/>
                <w:sz w:val="16"/>
                <w:szCs w:val="16"/>
              </w:rPr>
            </w:pPr>
            <w:r w:rsidRPr="00495082">
              <w:rPr>
                <w:rFonts w:cs="Arial"/>
                <w:sz w:val="16"/>
                <w:szCs w:val="16"/>
              </w:rPr>
              <w:t>less than 1 year</w:t>
            </w:r>
          </w:p>
        </w:tc>
        <w:tc>
          <w:tcPr>
            <w:tcW w:w="960" w:type="dxa"/>
            <w:tcBorders>
              <w:top w:val="nil"/>
              <w:left w:val="nil"/>
              <w:bottom w:val="single" w:sz="4" w:space="0" w:color="auto"/>
              <w:right w:val="nil"/>
            </w:tcBorders>
          </w:tcPr>
          <w:p w:rsidR="00B83890" w:rsidRPr="00495082" w:rsidRDefault="00B83890" w:rsidP="006E6DC8">
            <w:pPr>
              <w:rPr>
                <w:rFonts w:cs="Arial"/>
                <w:sz w:val="16"/>
                <w:szCs w:val="16"/>
              </w:rPr>
            </w:pPr>
            <w:r w:rsidRPr="00495082">
              <w:rPr>
                <w:rFonts w:cs="Arial"/>
                <w:sz w:val="16"/>
                <w:szCs w:val="16"/>
              </w:rPr>
              <w:t>1 - 5 years</w:t>
            </w:r>
          </w:p>
        </w:tc>
        <w:tc>
          <w:tcPr>
            <w:tcW w:w="960" w:type="dxa"/>
            <w:tcBorders>
              <w:top w:val="nil"/>
              <w:left w:val="nil"/>
              <w:bottom w:val="single" w:sz="4" w:space="0" w:color="auto"/>
              <w:right w:val="nil"/>
            </w:tcBorders>
            <w:shd w:val="clear" w:color="000000" w:fill="D8D8D8"/>
          </w:tcPr>
          <w:p w:rsidR="00B83890" w:rsidRPr="00495082" w:rsidRDefault="00B83890" w:rsidP="006E6DC8">
            <w:pPr>
              <w:rPr>
                <w:rFonts w:cs="Arial"/>
                <w:sz w:val="16"/>
                <w:szCs w:val="16"/>
              </w:rPr>
            </w:pPr>
            <w:r w:rsidRPr="00495082">
              <w:rPr>
                <w:rFonts w:cs="Arial"/>
                <w:sz w:val="16"/>
                <w:szCs w:val="16"/>
              </w:rPr>
              <w:t>5+ years</w:t>
            </w:r>
          </w:p>
        </w:tc>
      </w:tr>
      <w:tr w:rsidR="00B83890" w:rsidRPr="00495082" w:rsidTr="006E6DC8">
        <w:trPr>
          <w:trHeight w:val="225"/>
        </w:trPr>
        <w:tc>
          <w:tcPr>
            <w:tcW w:w="2340" w:type="dxa"/>
            <w:tcBorders>
              <w:top w:val="nil"/>
              <w:left w:val="nil"/>
              <w:bottom w:val="nil"/>
              <w:right w:val="nil"/>
            </w:tcBorders>
            <w:noWrap/>
            <w:vAlign w:val="bottom"/>
          </w:tcPr>
          <w:p w:rsidR="00B83890" w:rsidRPr="00495082" w:rsidRDefault="00B83890" w:rsidP="006E6DC8">
            <w:pPr>
              <w:rPr>
                <w:rFonts w:cs="Arial"/>
                <w:b/>
                <w:bCs/>
                <w:sz w:val="16"/>
                <w:szCs w:val="16"/>
              </w:rPr>
            </w:pPr>
            <w:r w:rsidRPr="00495082">
              <w:rPr>
                <w:rFonts w:cs="Arial"/>
                <w:b/>
                <w:bCs/>
                <w:sz w:val="16"/>
                <w:szCs w:val="16"/>
              </w:rPr>
              <w:t xml:space="preserve">Payables: </w:t>
            </w:r>
          </w:p>
        </w:tc>
        <w:tc>
          <w:tcPr>
            <w:tcW w:w="1320" w:type="dxa"/>
            <w:tcBorders>
              <w:top w:val="nil"/>
              <w:left w:val="nil"/>
              <w:bottom w:val="nil"/>
              <w:right w:val="nil"/>
            </w:tcBorders>
            <w:shd w:val="clear" w:color="000000" w:fill="D8D8D8"/>
            <w:noWrap/>
            <w:vAlign w:val="bottom"/>
          </w:tcPr>
          <w:p w:rsidR="00B83890" w:rsidRPr="00495082" w:rsidRDefault="00B83890" w:rsidP="006E6DC8">
            <w:pPr>
              <w:rPr>
                <w:rFonts w:cs="Arial"/>
                <w:sz w:val="16"/>
                <w:szCs w:val="16"/>
              </w:rPr>
            </w:pPr>
            <w:r w:rsidRPr="00495082">
              <w:rPr>
                <w:rFonts w:cs="Arial"/>
                <w:sz w:val="16"/>
                <w:szCs w:val="16"/>
              </w:rPr>
              <w:t> </w:t>
            </w:r>
          </w:p>
        </w:tc>
        <w:tc>
          <w:tcPr>
            <w:tcW w:w="1320" w:type="dxa"/>
            <w:tcBorders>
              <w:top w:val="nil"/>
              <w:left w:val="nil"/>
              <w:bottom w:val="nil"/>
              <w:right w:val="nil"/>
            </w:tcBorders>
            <w:noWrap/>
            <w:vAlign w:val="bottom"/>
          </w:tcPr>
          <w:p w:rsidR="00B83890" w:rsidRPr="00495082" w:rsidRDefault="00B83890" w:rsidP="006E6DC8">
            <w:pPr>
              <w:rPr>
                <w:rFonts w:cs="Arial"/>
                <w:sz w:val="16"/>
                <w:szCs w:val="16"/>
              </w:rPr>
            </w:pPr>
          </w:p>
        </w:tc>
        <w:tc>
          <w:tcPr>
            <w:tcW w:w="960" w:type="dxa"/>
            <w:tcBorders>
              <w:top w:val="nil"/>
              <w:left w:val="nil"/>
              <w:bottom w:val="nil"/>
              <w:right w:val="nil"/>
            </w:tcBorders>
            <w:shd w:val="clear" w:color="000000" w:fill="D8D8D8"/>
            <w:noWrap/>
            <w:vAlign w:val="bottom"/>
          </w:tcPr>
          <w:p w:rsidR="00B83890" w:rsidRPr="00495082" w:rsidRDefault="00B83890" w:rsidP="006E6DC8">
            <w:pPr>
              <w:rPr>
                <w:rFonts w:cs="Arial"/>
                <w:sz w:val="16"/>
                <w:szCs w:val="16"/>
              </w:rPr>
            </w:pPr>
            <w:r w:rsidRPr="00495082">
              <w:rPr>
                <w:rFonts w:cs="Arial"/>
                <w:sz w:val="16"/>
                <w:szCs w:val="16"/>
              </w:rPr>
              <w:t> </w:t>
            </w:r>
          </w:p>
        </w:tc>
        <w:tc>
          <w:tcPr>
            <w:tcW w:w="960" w:type="dxa"/>
            <w:tcBorders>
              <w:top w:val="nil"/>
              <w:left w:val="nil"/>
              <w:bottom w:val="nil"/>
              <w:right w:val="nil"/>
            </w:tcBorders>
            <w:noWrap/>
            <w:vAlign w:val="bottom"/>
          </w:tcPr>
          <w:p w:rsidR="00B83890" w:rsidRPr="00495082" w:rsidRDefault="00B83890" w:rsidP="006E6DC8">
            <w:pPr>
              <w:rPr>
                <w:rFonts w:cs="Arial"/>
                <w:sz w:val="16"/>
                <w:szCs w:val="16"/>
              </w:rPr>
            </w:pPr>
          </w:p>
        </w:tc>
        <w:tc>
          <w:tcPr>
            <w:tcW w:w="960" w:type="dxa"/>
            <w:tcBorders>
              <w:top w:val="nil"/>
              <w:left w:val="nil"/>
              <w:bottom w:val="nil"/>
              <w:right w:val="nil"/>
            </w:tcBorders>
            <w:shd w:val="clear" w:color="000000" w:fill="D8D8D8"/>
            <w:noWrap/>
            <w:vAlign w:val="bottom"/>
          </w:tcPr>
          <w:p w:rsidR="00B83890" w:rsidRPr="00495082" w:rsidRDefault="00B83890" w:rsidP="006E6DC8">
            <w:pPr>
              <w:rPr>
                <w:rFonts w:cs="Arial"/>
                <w:sz w:val="16"/>
                <w:szCs w:val="16"/>
              </w:rPr>
            </w:pPr>
            <w:r w:rsidRPr="00495082">
              <w:rPr>
                <w:rFonts w:cs="Arial"/>
                <w:sz w:val="16"/>
                <w:szCs w:val="16"/>
              </w:rPr>
              <w:t> </w:t>
            </w:r>
          </w:p>
        </w:tc>
      </w:tr>
      <w:tr w:rsidR="00B83890" w:rsidRPr="00495082" w:rsidTr="006E6DC8">
        <w:trPr>
          <w:trHeight w:val="225"/>
        </w:trPr>
        <w:tc>
          <w:tcPr>
            <w:tcW w:w="2340" w:type="dxa"/>
            <w:tcBorders>
              <w:top w:val="nil"/>
              <w:left w:val="nil"/>
              <w:bottom w:val="nil"/>
              <w:right w:val="nil"/>
            </w:tcBorders>
            <w:noWrap/>
            <w:vAlign w:val="bottom"/>
          </w:tcPr>
          <w:p w:rsidR="00B83890" w:rsidRPr="00495082" w:rsidRDefault="00B83890" w:rsidP="006E6DC8">
            <w:pPr>
              <w:rPr>
                <w:rFonts w:cs="Arial"/>
                <w:sz w:val="16"/>
                <w:szCs w:val="16"/>
              </w:rPr>
            </w:pPr>
            <w:r w:rsidRPr="00495082">
              <w:rPr>
                <w:rFonts w:cs="Arial"/>
                <w:sz w:val="16"/>
                <w:szCs w:val="16"/>
              </w:rPr>
              <w:t>Supplies and services</w:t>
            </w:r>
          </w:p>
        </w:tc>
        <w:tc>
          <w:tcPr>
            <w:tcW w:w="1320" w:type="dxa"/>
            <w:tcBorders>
              <w:top w:val="nil"/>
              <w:left w:val="nil"/>
              <w:bottom w:val="nil"/>
              <w:right w:val="nil"/>
            </w:tcBorders>
            <w:shd w:val="clear" w:color="000000" w:fill="D8D8D8"/>
            <w:noWrap/>
            <w:vAlign w:val="bottom"/>
          </w:tcPr>
          <w:p w:rsidR="00B83890" w:rsidRPr="00495082" w:rsidRDefault="00B83890" w:rsidP="006E6DC8">
            <w:pPr>
              <w:jc w:val="right"/>
              <w:rPr>
                <w:rFonts w:cs="Arial"/>
                <w:sz w:val="16"/>
                <w:szCs w:val="16"/>
              </w:rPr>
            </w:pPr>
            <w:r>
              <w:rPr>
                <w:rFonts w:cs="Arial"/>
                <w:sz w:val="16"/>
                <w:szCs w:val="16"/>
              </w:rPr>
              <w:t>5,182</w:t>
            </w:r>
            <w:r w:rsidRPr="00495082">
              <w:rPr>
                <w:rFonts w:cs="Arial"/>
                <w:sz w:val="16"/>
                <w:szCs w:val="16"/>
              </w:rPr>
              <w:t xml:space="preserve"> </w:t>
            </w:r>
          </w:p>
        </w:tc>
        <w:tc>
          <w:tcPr>
            <w:tcW w:w="1320" w:type="dxa"/>
            <w:tcBorders>
              <w:top w:val="nil"/>
              <w:left w:val="nil"/>
              <w:bottom w:val="nil"/>
              <w:right w:val="nil"/>
            </w:tcBorders>
            <w:noWrap/>
            <w:vAlign w:val="bottom"/>
          </w:tcPr>
          <w:p w:rsidR="00B83890" w:rsidRPr="00495082" w:rsidRDefault="00B83890" w:rsidP="006E6DC8">
            <w:pPr>
              <w:jc w:val="right"/>
              <w:rPr>
                <w:rFonts w:cs="Arial"/>
                <w:sz w:val="16"/>
                <w:szCs w:val="16"/>
              </w:rPr>
            </w:pPr>
            <w:r>
              <w:rPr>
                <w:rFonts w:cs="Arial"/>
                <w:sz w:val="16"/>
                <w:szCs w:val="16"/>
              </w:rPr>
              <w:t>5,182</w:t>
            </w:r>
            <w:r w:rsidRPr="00495082">
              <w:rPr>
                <w:rFonts w:cs="Arial"/>
                <w:sz w:val="16"/>
                <w:szCs w:val="16"/>
              </w:rPr>
              <w:t xml:space="preserve"> </w:t>
            </w:r>
          </w:p>
        </w:tc>
        <w:tc>
          <w:tcPr>
            <w:tcW w:w="960" w:type="dxa"/>
            <w:tcBorders>
              <w:top w:val="nil"/>
              <w:left w:val="nil"/>
              <w:bottom w:val="nil"/>
              <w:right w:val="nil"/>
            </w:tcBorders>
            <w:shd w:val="clear" w:color="000000" w:fill="D8D8D8"/>
            <w:noWrap/>
            <w:vAlign w:val="bottom"/>
          </w:tcPr>
          <w:p w:rsidR="00B83890" w:rsidRPr="00495082" w:rsidRDefault="00B83890" w:rsidP="006E6DC8">
            <w:pPr>
              <w:jc w:val="right"/>
              <w:rPr>
                <w:rFonts w:cs="Arial"/>
                <w:sz w:val="16"/>
                <w:szCs w:val="16"/>
              </w:rPr>
            </w:pPr>
            <w:r>
              <w:rPr>
                <w:rFonts w:cs="Arial"/>
                <w:sz w:val="16"/>
                <w:szCs w:val="16"/>
              </w:rPr>
              <w:t>5,182</w:t>
            </w:r>
          </w:p>
        </w:tc>
        <w:tc>
          <w:tcPr>
            <w:tcW w:w="960" w:type="dxa"/>
            <w:tcBorders>
              <w:top w:val="nil"/>
              <w:left w:val="nil"/>
              <w:bottom w:val="nil"/>
              <w:right w:val="nil"/>
            </w:tcBorders>
            <w:noWrap/>
            <w:vAlign w:val="bottom"/>
          </w:tcPr>
          <w:p w:rsidR="00B83890" w:rsidRPr="00495082" w:rsidRDefault="00B83890" w:rsidP="006E6DC8">
            <w:pPr>
              <w:jc w:val="right"/>
              <w:rPr>
                <w:rFonts w:cs="Arial"/>
                <w:sz w:val="16"/>
                <w:szCs w:val="16"/>
              </w:rPr>
            </w:pPr>
            <w:r>
              <w:rPr>
                <w:rFonts w:cs="Arial"/>
                <w:sz w:val="16"/>
                <w:szCs w:val="16"/>
              </w:rPr>
              <w:t>0</w:t>
            </w:r>
          </w:p>
        </w:tc>
        <w:tc>
          <w:tcPr>
            <w:tcW w:w="960" w:type="dxa"/>
            <w:tcBorders>
              <w:top w:val="nil"/>
              <w:left w:val="nil"/>
              <w:bottom w:val="nil"/>
              <w:right w:val="nil"/>
            </w:tcBorders>
            <w:shd w:val="clear" w:color="000000" w:fill="D8D8D8"/>
            <w:noWrap/>
            <w:vAlign w:val="bottom"/>
          </w:tcPr>
          <w:p w:rsidR="00B83890" w:rsidRPr="00495082" w:rsidRDefault="00B83890" w:rsidP="006E6DC8">
            <w:pPr>
              <w:jc w:val="right"/>
              <w:rPr>
                <w:rFonts w:cs="Arial"/>
                <w:sz w:val="16"/>
                <w:szCs w:val="16"/>
              </w:rPr>
            </w:pPr>
            <w:r>
              <w:rPr>
                <w:rFonts w:cs="Arial"/>
                <w:sz w:val="16"/>
                <w:szCs w:val="16"/>
              </w:rPr>
              <w:t>0</w:t>
            </w:r>
            <w:r w:rsidRPr="00495082">
              <w:rPr>
                <w:rFonts w:cs="Arial"/>
                <w:sz w:val="16"/>
                <w:szCs w:val="16"/>
              </w:rPr>
              <w:t> </w:t>
            </w:r>
          </w:p>
        </w:tc>
      </w:tr>
      <w:tr w:rsidR="00B83890" w:rsidRPr="00495082" w:rsidTr="006E6DC8">
        <w:trPr>
          <w:trHeight w:val="225"/>
        </w:trPr>
        <w:tc>
          <w:tcPr>
            <w:tcW w:w="2340" w:type="dxa"/>
            <w:tcBorders>
              <w:top w:val="nil"/>
              <w:left w:val="nil"/>
              <w:bottom w:val="nil"/>
              <w:right w:val="nil"/>
            </w:tcBorders>
            <w:noWrap/>
            <w:vAlign w:val="bottom"/>
          </w:tcPr>
          <w:p w:rsidR="00B83890" w:rsidRPr="00495082" w:rsidRDefault="00B83890" w:rsidP="006E6DC8">
            <w:pPr>
              <w:rPr>
                <w:rFonts w:cs="Arial"/>
                <w:b/>
                <w:bCs/>
                <w:sz w:val="16"/>
                <w:szCs w:val="16"/>
              </w:rPr>
            </w:pPr>
            <w:r w:rsidRPr="00495082">
              <w:rPr>
                <w:rFonts w:cs="Arial"/>
                <w:b/>
                <w:bCs/>
                <w:sz w:val="16"/>
                <w:szCs w:val="16"/>
              </w:rPr>
              <w:t>Borrowings</w:t>
            </w:r>
          </w:p>
        </w:tc>
        <w:tc>
          <w:tcPr>
            <w:tcW w:w="1320" w:type="dxa"/>
            <w:tcBorders>
              <w:top w:val="nil"/>
              <w:left w:val="nil"/>
              <w:bottom w:val="nil"/>
              <w:right w:val="nil"/>
            </w:tcBorders>
            <w:shd w:val="clear" w:color="000000" w:fill="D8D8D8"/>
            <w:noWrap/>
            <w:vAlign w:val="bottom"/>
          </w:tcPr>
          <w:p w:rsidR="00B83890" w:rsidRPr="00495082" w:rsidRDefault="00B83890" w:rsidP="006E6DC8">
            <w:pPr>
              <w:jc w:val="right"/>
              <w:rPr>
                <w:rFonts w:cs="Arial"/>
                <w:sz w:val="16"/>
                <w:szCs w:val="16"/>
              </w:rPr>
            </w:pPr>
            <w:r w:rsidRPr="00495082">
              <w:rPr>
                <w:rFonts w:cs="Arial"/>
                <w:sz w:val="16"/>
                <w:szCs w:val="16"/>
              </w:rPr>
              <w:t> </w:t>
            </w:r>
          </w:p>
        </w:tc>
        <w:tc>
          <w:tcPr>
            <w:tcW w:w="1320" w:type="dxa"/>
            <w:tcBorders>
              <w:top w:val="nil"/>
              <w:left w:val="nil"/>
              <w:bottom w:val="nil"/>
              <w:right w:val="nil"/>
            </w:tcBorders>
            <w:noWrap/>
            <w:vAlign w:val="bottom"/>
          </w:tcPr>
          <w:p w:rsidR="00B83890" w:rsidRPr="00495082" w:rsidRDefault="00B83890" w:rsidP="006E6DC8">
            <w:pPr>
              <w:jc w:val="right"/>
              <w:rPr>
                <w:rFonts w:cs="Arial"/>
                <w:sz w:val="16"/>
                <w:szCs w:val="16"/>
              </w:rPr>
            </w:pPr>
          </w:p>
        </w:tc>
        <w:tc>
          <w:tcPr>
            <w:tcW w:w="960" w:type="dxa"/>
            <w:tcBorders>
              <w:top w:val="nil"/>
              <w:left w:val="nil"/>
              <w:bottom w:val="nil"/>
              <w:right w:val="nil"/>
            </w:tcBorders>
            <w:shd w:val="clear" w:color="000000" w:fill="D8D8D8"/>
            <w:noWrap/>
            <w:vAlign w:val="bottom"/>
          </w:tcPr>
          <w:p w:rsidR="00B83890" w:rsidRPr="00495082" w:rsidRDefault="00B83890" w:rsidP="006E6DC8">
            <w:pPr>
              <w:jc w:val="right"/>
              <w:rPr>
                <w:rFonts w:cs="Arial"/>
                <w:sz w:val="16"/>
                <w:szCs w:val="16"/>
              </w:rPr>
            </w:pPr>
            <w:r w:rsidRPr="00495082">
              <w:rPr>
                <w:rFonts w:cs="Arial"/>
                <w:sz w:val="16"/>
                <w:szCs w:val="16"/>
              </w:rPr>
              <w:t> </w:t>
            </w:r>
          </w:p>
        </w:tc>
        <w:tc>
          <w:tcPr>
            <w:tcW w:w="960" w:type="dxa"/>
            <w:tcBorders>
              <w:top w:val="nil"/>
              <w:left w:val="nil"/>
              <w:bottom w:val="nil"/>
              <w:right w:val="nil"/>
            </w:tcBorders>
            <w:noWrap/>
            <w:vAlign w:val="bottom"/>
          </w:tcPr>
          <w:p w:rsidR="00B83890" w:rsidRPr="00495082" w:rsidRDefault="00B83890" w:rsidP="006E6DC8">
            <w:pPr>
              <w:jc w:val="right"/>
              <w:rPr>
                <w:rFonts w:cs="Arial"/>
                <w:sz w:val="16"/>
                <w:szCs w:val="16"/>
              </w:rPr>
            </w:pPr>
          </w:p>
        </w:tc>
        <w:tc>
          <w:tcPr>
            <w:tcW w:w="960" w:type="dxa"/>
            <w:tcBorders>
              <w:top w:val="nil"/>
              <w:left w:val="nil"/>
              <w:bottom w:val="nil"/>
              <w:right w:val="nil"/>
            </w:tcBorders>
            <w:shd w:val="clear" w:color="000000" w:fill="D8D8D8"/>
            <w:noWrap/>
            <w:vAlign w:val="bottom"/>
          </w:tcPr>
          <w:p w:rsidR="00B83890" w:rsidRPr="00495082" w:rsidRDefault="00B83890" w:rsidP="006E6DC8">
            <w:pPr>
              <w:jc w:val="right"/>
              <w:rPr>
                <w:rFonts w:cs="Arial"/>
                <w:sz w:val="16"/>
                <w:szCs w:val="16"/>
              </w:rPr>
            </w:pPr>
            <w:r w:rsidRPr="00495082">
              <w:rPr>
                <w:rFonts w:cs="Arial"/>
                <w:sz w:val="16"/>
                <w:szCs w:val="16"/>
              </w:rPr>
              <w:t> </w:t>
            </w:r>
          </w:p>
        </w:tc>
      </w:tr>
      <w:tr w:rsidR="00B83890" w:rsidRPr="00495082" w:rsidTr="006E6DC8">
        <w:trPr>
          <w:trHeight w:val="225"/>
        </w:trPr>
        <w:tc>
          <w:tcPr>
            <w:tcW w:w="2340" w:type="dxa"/>
            <w:tcBorders>
              <w:top w:val="nil"/>
              <w:left w:val="nil"/>
              <w:bottom w:val="single" w:sz="4" w:space="0" w:color="auto"/>
              <w:right w:val="nil"/>
            </w:tcBorders>
            <w:noWrap/>
            <w:vAlign w:val="bottom"/>
          </w:tcPr>
          <w:p w:rsidR="00B83890" w:rsidRPr="00495082" w:rsidRDefault="00B83890" w:rsidP="006E6DC8">
            <w:pPr>
              <w:rPr>
                <w:rFonts w:cs="Arial"/>
                <w:sz w:val="16"/>
                <w:szCs w:val="16"/>
              </w:rPr>
            </w:pPr>
            <w:r w:rsidRPr="00495082">
              <w:rPr>
                <w:rFonts w:cs="Arial"/>
                <w:sz w:val="16"/>
                <w:szCs w:val="16"/>
              </w:rPr>
              <w:t>Lease liabilities</w:t>
            </w:r>
          </w:p>
        </w:tc>
        <w:tc>
          <w:tcPr>
            <w:tcW w:w="1320" w:type="dxa"/>
            <w:tcBorders>
              <w:top w:val="nil"/>
              <w:left w:val="nil"/>
              <w:bottom w:val="single" w:sz="4" w:space="0" w:color="auto"/>
              <w:right w:val="nil"/>
            </w:tcBorders>
            <w:shd w:val="clear" w:color="000000" w:fill="D8D8D8"/>
            <w:noWrap/>
            <w:vAlign w:val="bottom"/>
          </w:tcPr>
          <w:p w:rsidR="00B83890" w:rsidRPr="00495082" w:rsidRDefault="00B83890" w:rsidP="006E6DC8">
            <w:pPr>
              <w:jc w:val="right"/>
              <w:rPr>
                <w:rFonts w:cs="Arial"/>
                <w:sz w:val="16"/>
                <w:szCs w:val="16"/>
              </w:rPr>
            </w:pPr>
            <w:r>
              <w:rPr>
                <w:rFonts w:cs="Arial"/>
                <w:sz w:val="16"/>
                <w:szCs w:val="16"/>
              </w:rPr>
              <w:t>289</w:t>
            </w:r>
            <w:r w:rsidRPr="00495082">
              <w:rPr>
                <w:rFonts w:cs="Arial"/>
                <w:sz w:val="16"/>
                <w:szCs w:val="16"/>
              </w:rPr>
              <w:t xml:space="preserve"> </w:t>
            </w:r>
          </w:p>
        </w:tc>
        <w:tc>
          <w:tcPr>
            <w:tcW w:w="1320" w:type="dxa"/>
            <w:tcBorders>
              <w:top w:val="nil"/>
              <w:left w:val="nil"/>
              <w:bottom w:val="single" w:sz="4" w:space="0" w:color="auto"/>
              <w:right w:val="nil"/>
            </w:tcBorders>
            <w:noWrap/>
            <w:vAlign w:val="bottom"/>
          </w:tcPr>
          <w:p w:rsidR="00B83890" w:rsidRPr="00495082" w:rsidRDefault="00B83890" w:rsidP="006E6DC8">
            <w:pPr>
              <w:jc w:val="right"/>
              <w:rPr>
                <w:rFonts w:cs="Arial"/>
                <w:sz w:val="16"/>
                <w:szCs w:val="16"/>
              </w:rPr>
            </w:pPr>
            <w:r>
              <w:rPr>
                <w:rFonts w:cs="Arial"/>
                <w:sz w:val="16"/>
                <w:szCs w:val="16"/>
              </w:rPr>
              <w:t>289</w:t>
            </w:r>
          </w:p>
        </w:tc>
        <w:tc>
          <w:tcPr>
            <w:tcW w:w="960" w:type="dxa"/>
            <w:tcBorders>
              <w:top w:val="nil"/>
              <w:left w:val="nil"/>
              <w:bottom w:val="single" w:sz="4" w:space="0" w:color="auto"/>
              <w:right w:val="nil"/>
            </w:tcBorders>
            <w:shd w:val="clear" w:color="000000" w:fill="D8D8D8"/>
            <w:noWrap/>
            <w:vAlign w:val="bottom"/>
          </w:tcPr>
          <w:p w:rsidR="00B83890" w:rsidRPr="00495082" w:rsidRDefault="00B83890" w:rsidP="006E6DC8">
            <w:pPr>
              <w:jc w:val="right"/>
              <w:rPr>
                <w:rFonts w:cs="Arial"/>
                <w:sz w:val="16"/>
                <w:szCs w:val="16"/>
              </w:rPr>
            </w:pPr>
            <w:r>
              <w:rPr>
                <w:rFonts w:cs="Arial"/>
                <w:sz w:val="16"/>
                <w:szCs w:val="16"/>
              </w:rPr>
              <w:t>133</w:t>
            </w:r>
          </w:p>
        </w:tc>
        <w:tc>
          <w:tcPr>
            <w:tcW w:w="960" w:type="dxa"/>
            <w:tcBorders>
              <w:top w:val="nil"/>
              <w:left w:val="nil"/>
              <w:bottom w:val="single" w:sz="4" w:space="0" w:color="auto"/>
              <w:right w:val="nil"/>
            </w:tcBorders>
            <w:noWrap/>
            <w:vAlign w:val="bottom"/>
          </w:tcPr>
          <w:p w:rsidR="00B83890" w:rsidRPr="00495082" w:rsidRDefault="00B83890" w:rsidP="006E6DC8">
            <w:pPr>
              <w:jc w:val="right"/>
              <w:rPr>
                <w:rFonts w:cs="Arial"/>
                <w:sz w:val="16"/>
                <w:szCs w:val="16"/>
              </w:rPr>
            </w:pPr>
            <w:r>
              <w:rPr>
                <w:rFonts w:cs="Arial"/>
                <w:sz w:val="16"/>
                <w:szCs w:val="16"/>
              </w:rPr>
              <w:t>156</w:t>
            </w:r>
          </w:p>
        </w:tc>
        <w:tc>
          <w:tcPr>
            <w:tcW w:w="960" w:type="dxa"/>
            <w:tcBorders>
              <w:top w:val="nil"/>
              <w:left w:val="nil"/>
              <w:bottom w:val="single" w:sz="4" w:space="0" w:color="auto"/>
              <w:right w:val="nil"/>
            </w:tcBorders>
            <w:shd w:val="clear" w:color="000000" w:fill="D8D8D8"/>
            <w:noWrap/>
            <w:vAlign w:val="bottom"/>
          </w:tcPr>
          <w:p w:rsidR="00B83890" w:rsidRPr="00495082" w:rsidRDefault="00B83890" w:rsidP="006E6DC8">
            <w:pPr>
              <w:jc w:val="right"/>
              <w:rPr>
                <w:rFonts w:cs="Arial"/>
                <w:sz w:val="16"/>
                <w:szCs w:val="16"/>
              </w:rPr>
            </w:pPr>
            <w:r>
              <w:rPr>
                <w:rFonts w:cs="Arial"/>
                <w:sz w:val="16"/>
                <w:szCs w:val="16"/>
              </w:rPr>
              <w:t>0</w:t>
            </w:r>
            <w:r w:rsidRPr="00495082">
              <w:rPr>
                <w:rFonts w:cs="Arial"/>
                <w:sz w:val="16"/>
                <w:szCs w:val="16"/>
              </w:rPr>
              <w:t> </w:t>
            </w:r>
          </w:p>
        </w:tc>
      </w:tr>
      <w:tr w:rsidR="00B83890" w:rsidRPr="00495082" w:rsidTr="006E6DC8">
        <w:trPr>
          <w:trHeight w:val="225"/>
        </w:trPr>
        <w:tc>
          <w:tcPr>
            <w:tcW w:w="2340" w:type="dxa"/>
            <w:tcBorders>
              <w:top w:val="nil"/>
              <w:left w:val="nil"/>
              <w:bottom w:val="single" w:sz="4" w:space="0" w:color="auto"/>
              <w:right w:val="nil"/>
            </w:tcBorders>
            <w:noWrap/>
            <w:vAlign w:val="bottom"/>
          </w:tcPr>
          <w:p w:rsidR="00B83890" w:rsidRPr="00495082" w:rsidRDefault="00B83890" w:rsidP="006E6DC8">
            <w:pPr>
              <w:rPr>
                <w:rFonts w:cs="Arial"/>
                <w:b/>
                <w:bCs/>
                <w:sz w:val="16"/>
                <w:szCs w:val="16"/>
              </w:rPr>
            </w:pPr>
            <w:r w:rsidRPr="00495082">
              <w:rPr>
                <w:rFonts w:cs="Arial"/>
                <w:b/>
                <w:bCs/>
                <w:sz w:val="16"/>
                <w:szCs w:val="16"/>
              </w:rPr>
              <w:t>Total</w:t>
            </w:r>
          </w:p>
        </w:tc>
        <w:tc>
          <w:tcPr>
            <w:tcW w:w="1320" w:type="dxa"/>
            <w:tcBorders>
              <w:top w:val="nil"/>
              <w:left w:val="nil"/>
              <w:bottom w:val="single" w:sz="4" w:space="0" w:color="auto"/>
              <w:right w:val="nil"/>
            </w:tcBorders>
            <w:shd w:val="clear" w:color="000000" w:fill="D8D8D8"/>
            <w:noWrap/>
            <w:vAlign w:val="bottom"/>
          </w:tcPr>
          <w:p w:rsidR="00B83890" w:rsidRPr="00495082" w:rsidRDefault="00B83890" w:rsidP="006E6DC8">
            <w:pPr>
              <w:jc w:val="right"/>
              <w:rPr>
                <w:rFonts w:cs="Arial"/>
                <w:b/>
                <w:bCs/>
                <w:sz w:val="16"/>
                <w:szCs w:val="16"/>
              </w:rPr>
            </w:pPr>
            <w:r>
              <w:rPr>
                <w:rFonts w:cs="Arial"/>
                <w:b/>
                <w:bCs/>
                <w:sz w:val="16"/>
                <w:szCs w:val="16"/>
              </w:rPr>
              <w:t>5,471</w:t>
            </w:r>
          </w:p>
        </w:tc>
        <w:tc>
          <w:tcPr>
            <w:tcW w:w="1320" w:type="dxa"/>
            <w:tcBorders>
              <w:top w:val="nil"/>
              <w:left w:val="nil"/>
              <w:bottom w:val="single" w:sz="4" w:space="0" w:color="auto"/>
              <w:right w:val="nil"/>
            </w:tcBorders>
            <w:noWrap/>
            <w:vAlign w:val="bottom"/>
          </w:tcPr>
          <w:p w:rsidR="00B83890" w:rsidRPr="00495082" w:rsidRDefault="00B83890" w:rsidP="006E6DC8">
            <w:pPr>
              <w:jc w:val="right"/>
              <w:rPr>
                <w:rFonts w:cs="Arial"/>
                <w:b/>
                <w:bCs/>
                <w:sz w:val="16"/>
                <w:szCs w:val="16"/>
              </w:rPr>
            </w:pPr>
            <w:r>
              <w:rPr>
                <w:rFonts w:cs="Arial"/>
                <w:b/>
                <w:bCs/>
                <w:sz w:val="16"/>
                <w:szCs w:val="16"/>
              </w:rPr>
              <w:t>5,471</w:t>
            </w:r>
          </w:p>
        </w:tc>
        <w:tc>
          <w:tcPr>
            <w:tcW w:w="960" w:type="dxa"/>
            <w:tcBorders>
              <w:top w:val="nil"/>
              <w:left w:val="nil"/>
              <w:bottom w:val="single" w:sz="4" w:space="0" w:color="auto"/>
              <w:right w:val="nil"/>
            </w:tcBorders>
            <w:shd w:val="clear" w:color="000000" w:fill="D8D8D8"/>
            <w:noWrap/>
            <w:vAlign w:val="bottom"/>
          </w:tcPr>
          <w:p w:rsidR="00B83890" w:rsidRPr="00495082" w:rsidRDefault="00B83890" w:rsidP="006E6DC8">
            <w:pPr>
              <w:jc w:val="right"/>
              <w:rPr>
                <w:rFonts w:cs="Arial"/>
                <w:b/>
                <w:bCs/>
                <w:sz w:val="16"/>
                <w:szCs w:val="16"/>
              </w:rPr>
            </w:pPr>
            <w:r>
              <w:rPr>
                <w:rFonts w:cs="Arial"/>
                <w:b/>
                <w:bCs/>
                <w:sz w:val="16"/>
                <w:szCs w:val="16"/>
              </w:rPr>
              <w:t>5,315</w:t>
            </w:r>
          </w:p>
        </w:tc>
        <w:tc>
          <w:tcPr>
            <w:tcW w:w="960" w:type="dxa"/>
            <w:tcBorders>
              <w:top w:val="nil"/>
              <w:left w:val="nil"/>
              <w:bottom w:val="single" w:sz="4" w:space="0" w:color="auto"/>
              <w:right w:val="nil"/>
            </w:tcBorders>
            <w:noWrap/>
            <w:vAlign w:val="bottom"/>
          </w:tcPr>
          <w:p w:rsidR="00B83890" w:rsidRPr="00495082" w:rsidRDefault="00B83890" w:rsidP="006E6DC8">
            <w:pPr>
              <w:jc w:val="right"/>
              <w:rPr>
                <w:rFonts w:cs="Arial"/>
                <w:b/>
                <w:bCs/>
                <w:sz w:val="16"/>
                <w:szCs w:val="16"/>
              </w:rPr>
            </w:pPr>
            <w:r>
              <w:rPr>
                <w:rFonts w:cs="Arial"/>
                <w:b/>
                <w:bCs/>
                <w:sz w:val="16"/>
                <w:szCs w:val="16"/>
              </w:rPr>
              <w:t>156</w:t>
            </w:r>
          </w:p>
        </w:tc>
        <w:tc>
          <w:tcPr>
            <w:tcW w:w="960" w:type="dxa"/>
            <w:tcBorders>
              <w:top w:val="nil"/>
              <w:left w:val="nil"/>
              <w:bottom w:val="single" w:sz="4" w:space="0" w:color="auto"/>
              <w:right w:val="nil"/>
            </w:tcBorders>
            <w:shd w:val="clear" w:color="000000" w:fill="D8D8D8"/>
            <w:noWrap/>
            <w:vAlign w:val="bottom"/>
          </w:tcPr>
          <w:p w:rsidR="00B83890" w:rsidRPr="00495082" w:rsidRDefault="00B83890" w:rsidP="006E6DC8">
            <w:pPr>
              <w:jc w:val="right"/>
              <w:rPr>
                <w:rFonts w:cs="Arial"/>
                <w:b/>
                <w:bCs/>
                <w:sz w:val="16"/>
                <w:szCs w:val="16"/>
              </w:rPr>
            </w:pPr>
            <w:r w:rsidRPr="00495082">
              <w:rPr>
                <w:rFonts w:cs="Arial"/>
                <w:b/>
                <w:bCs/>
                <w:sz w:val="16"/>
                <w:szCs w:val="16"/>
              </w:rPr>
              <w:t>0</w:t>
            </w:r>
          </w:p>
        </w:tc>
      </w:tr>
      <w:tr w:rsidR="00B83890" w:rsidRPr="00495082" w:rsidTr="006E6DC8">
        <w:trPr>
          <w:trHeight w:val="225"/>
        </w:trPr>
        <w:tc>
          <w:tcPr>
            <w:tcW w:w="2340" w:type="dxa"/>
            <w:tcBorders>
              <w:top w:val="nil"/>
              <w:left w:val="nil"/>
              <w:bottom w:val="nil"/>
              <w:right w:val="nil"/>
            </w:tcBorders>
            <w:noWrap/>
            <w:vAlign w:val="bottom"/>
          </w:tcPr>
          <w:p w:rsidR="00B83890" w:rsidRPr="00495082" w:rsidRDefault="00B83890" w:rsidP="006E6DC8">
            <w:pPr>
              <w:rPr>
                <w:rFonts w:cs="Arial"/>
                <w:b/>
                <w:bCs/>
                <w:sz w:val="16"/>
                <w:szCs w:val="16"/>
              </w:rPr>
            </w:pPr>
            <w:r w:rsidRPr="00495082">
              <w:rPr>
                <w:rFonts w:cs="Arial"/>
                <w:b/>
                <w:bCs/>
                <w:sz w:val="16"/>
                <w:szCs w:val="16"/>
              </w:rPr>
              <w:t>201</w:t>
            </w:r>
            <w:r>
              <w:rPr>
                <w:rFonts w:cs="Arial"/>
                <w:b/>
                <w:bCs/>
                <w:sz w:val="16"/>
                <w:szCs w:val="16"/>
              </w:rPr>
              <w:t>2</w:t>
            </w:r>
          </w:p>
        </w:tc>
        <w:tc>
          <w:tcPr>
            <w:tcW w:w="1320" w:type="dxa"/>
            <w:tcBorders>
              <w:top w:val="nil"/>
              <w:left w:val="nil"/>
              <w:bottom w:val="nil"/>
              <w:right w:val="nil"/>
            </w:tcBorders>
            <w:shd w:val="clear" w:color="000000" w:fill="D8D8D8"/>
            <w:noWrap/>
            <w:vAlign w:val="bottom"/>
          </w:tcPr>
          <w:p w:rsidR="00B83890" w:rsidRPr="00495082" w:rsidRDefault="00B83890" w:rsidP="006E6DC8">
            <w:pPr>
              <w:jc w:val="right"/>
              <w:rPr>
                <w:rFonts w:cs="Arial"/>
                <w:sz w:val="16"/>
                <w:szCs w:val="16"/>
              </w:rPr>
            </w:pPr>
            <w:r w:rsidRPr="00495082">
              <w:rPr>
                <w:rFonts w:cs="Arial"/>
                <w:sz w:val="16"/>
                <w:szCs w:val="16"/>
              </w:rPr>
              <w:t> </w:t>
            </w:r>
          </w:p>
        </w:tc>
        <w:tc>
          <w:tcPr>
            <w:tcW w:w="1320" w:type="dxa"/>
            <w:tcBorders>
              <w:top w:val="nil"/>
              <w:left w:val="nil"/>
              <w:bottom w:val="nil"/>
              <w:right w:val="nil"/>
            </w:tcBorders>
            <w:noWrap/>
            <w:vAlign w:val="bottom"/>
          </w:tcPr>
          <w:p w:rsidR="00B83890" w:rsidRPr="00495082" w:rsidRDefault="00B83890" w:rsidP="006E6DC8">
            <w:pPr>
              <w:jc w:val="right"/>
              <w:rPr>
                <w:rFonts w:cs="Arial"/>
                <w:sz w:val="16"/>
                <w:szCs w:val="16"/>
              </w:rPr>
            </w:pPr>
          </w:p>
        </w:tc>
        <w:tc>
          <w:tcPr>
            <w:tcW w:w="960" w:type="dxa"/>
            <w:tcBorders>
              <w:top w:val="nil"/>
              <w:left w:val="nil"/>
              <w:bottom w:val="nil"/>
              <w:right w:val="nil"/>
            </w:tcBorders>
            <w:shd w:val="clear" w:color="000000" w:fill="D8D8D8"/>
            <w:noWrap/>
            <w:vAlign w:val="bottom"/>
          </w:tcPr>
          <w:p w:rsidR="00B83890" w:rsidRPr="00495082" w:rsidRDefault="00B83890" w:rsidP="006E6DC8">
            <w:pPr>
              <w:jc w:val="right"/>
              <w:rPr>
                <w:rFonts w:cs="Arial"/>
                <w:sz w:val="16"/>
                <w:szCs w:val="16"/>
              </w:rPr>
            </w:pPr>
            <w:r w:rsidRPr="00495082">
              <w:rPr>
                <w:rFonts w:cs="Arial"/>
                <w:sz w:val="16"/>
                <w:szCs w:val="16"/>
              </w:rPr>
              <w:t> </w:t>
            </w:r>
          </w:p>
        </w:tc>
        <w:tc>
          <w:tcPr>
            <w:tcW w:w="960" w:type="dxa"/>
            <w:tcBorders>
              <w:top w:val="nil"/>
              <w:left w:val="nil"/>
              <w:bottom w:val="nil"/>
              <w:right w:val="nil"/>
            </w:tcBorders>
            <w:noWrap/>
            <w:vAlign w:val="bottom"/>
          </w:tcPr>
          <w:p w:rsidR="00B83890" w:rsidRPr="00495082" w:rsidRDefault="00B83890" w:rsidP="006E6DC8">
            <w:pPr>
              <w:jc w:val="right"/>
              <w:rPr>
                <w:rFonts w:cs="Arial"/>
                <w:sz w:val="16"/>
                <w:szCs w:val="16"/>
              </w:rPr>
            </w:pPr>
          </w:p>
        </w:tc>
        <w:tc>
          <w:tcPr>
            <w:tcW w:w="960" w:type="dxa"/>
            <w:tcBorders>
              <w:top w:val="nil"/>
              <w:left w:val="nil"/>
              <w:bottom w:val="nil"/>
              <w:right w:val="nil"/>
            </w:tcBorders>
            <w:shd w:val="clear" w:color="000000" w:fill="D8D8D8"/>
            <w:noWrap/>
            <w:vAlign w:val="bottom"/>
          </w:tcPr>
          <w:p w:rsidR="00B83890" w:rsidRPr="00495082" w:rsidRDefault="00B83890" w:rsidP="006E6DC8">
            <w:pPr>
              <w:jc w:val="right"/>
              <w:rPr>
                <w:rFonts w:cs="Arial"/>
                <w:sz w:val="16"/>
                <w:szCs w:val="16"/>
              </w:rPr>
            </w:pPr>
            <w:r w:rsidRPr="00495082">
              <w:rPr>
                <w:rFonts w:cs="Arial"/>
                <w:sz w:val="16"/>
                <w:szCs w:val="16"/>
              </w:rPr>
              <w:t> </w:t>
            </w:r>
          </w:p>
        </w:tc>
      </w:tr>
      <w:tr w:rsidR="00B83890" w:rsidRPr="00495082" w:rsidTr="006E6DC8">
        <w:trPr>
          <w:trHeight w:val="225"/>
        </w:trPr>
        <w:tc>
          <w:tcPr>
            <w:tcW w:w="2340" w:type="dxa"/>
            <w:tcBorders>
              <w:top w:val="nil"/>
              <w:left w:val="nil"/>
              <w:bottom w:val="nil"/>
              <w:right w:val="nil"/>
            </w:tcBorders>
            <w:noWrap/>
            <w:vAlign w:val="bottom"/>
          </w:tcPr>
          <w:p w:rsidR="00B83890" w:rsidRPr="00495082" w:rsidRDefault="00B83890" w:rsidP="006E6DC8">
            <w:pPr>
              <w:rPr>
                <w:rFonts w:cs="Arial"/>
                <w:b/>
                <w:bCs/>
                <w:sz w:val="16"/>
                <w:szCs w:val="16"/>
              </w:rPr>
            </w:pPr>
            <w:r w:rsidRPr="00495082">
              <w:rPr>
                <w:rFonts w:cs="Arial"/>
                <w:b/>
                <w:bCs/>
                <w:sz w:val="16"/>
                <w:szCs w:val="16"/>
              </w:rPr>
              <w:t xml:space="preserve">Payables: </w:t>
            </w:r>
          </w:p>
        </w:tc>
        <w:tc>
          <w:tcPr>
            <w:tcW w:w="1320" w:type="dxa"/>
            <w:tcBorders>
              <w:top w:val="nil"/>
              <w:left w:val="nil"/>
              <w:bottom w:val="nil"/>
              <w:right w:val="nil"/>
            </w:tcBorders>
            <w:shd w:val="clear" w:color="000000" w:fill="D8D8D8"/>
            <w:noWrap/>
            <w:vAlign w:val="bottom"/>
          </w:tcPr>
          <w:p w:rsidR="00B83890" w:rsidRPr="00495082" w:rsidRDefault="00B83890" w:rsidP="006E6DC8">
            <w:pPr>
              <w:jc w:val="right"/>
              <w:rPr>
                <w:rFonts w:cs="Arial"/>
                <w:sz w:val="16"/>
                <w:szCs w:val="16"/>
              </w:rPr>
            </w:pPr>
            <w:r w:rsidRPr="00495082">
              <w:rPr>
                <w:rFonts w:cs="Arial"/>
                <w:sz w:val="16"/>
                <w:szCs w:val="16"/>
              </w:rPr>
              <w:t> </w:t>
            </w:r>
          </w:p>
        </w:tc>
        <w:tc>
          <w:tcPr>
            <w:tcW w:w="1320" w:type="dxa"/>
            <w:tcBorders>
              <w:top w:val="nil"/>
              <w:left w:val="nil"/>
              <w:bottom w:val="nil"/>
              <w:right w:val="nil"/>
            </w:tcBorders>
            <w:noWrap/>
            <w:vAlign w:val="bottom"/>
          </w:tcPr>
          <w:p w:rsidR="00B83890" w:rsidRPr="00495082" w:rsidRDefault="00B83890" w:rsidP="006E6DC8">
            <w:pPr>
              <w:jc w:val="right"/>
              <w:rPr>
                <w:rFonts w:cs="Arial"/>
                <w:sz w:val="16"/>
                <w:szCs w:val="16"/>
              </w:rPr>
            </w:pPr>
          </w:p>
        </w:tc>
        <w:tc>
          <w:tcPr>
            <w:tcW w:w="960" w:type="dxa"/>
            <w:tcBorders>
              <w:top w:val="nil"/>
              <w:left w:val="nil"/>
              <w:bottom w:val="nil"/>
              <w:right w:val="nil"/>
            </w:tcBorders>
            <w:shd w:val="clear" w:color="000000" w:fill="D8D8D8"/>
            <w:noWrap/>
            <w:vAlign w:val="bottom"/>
          </w:tcPr>
          <w:p w:rsidR="00B83890" w:rsidRPr="00495082" w:rsidRDefault="00B83890" w:rsidP="006E6DC8">
            <w:pPr>
              <w:jc w:val="right"/>
              <w:rPr>
                <w:rFonts w:cs="Arial"/>
                <w:sz w:val="16"/>
                <w:szCs w:val="16"/>
              </w:rPr>
            </w:pPr>
            <w:r w:rsidRPr="00495082">
              <w:rPr>
                <w:rFonts w:cs="Arial"/>
                <w:sz w:val="16"/>
                <w:szCs w:val="16"/>
              </w:rPr>
              <w:t> </w:t>
            </w:r>
          </w:p>
        </w:tc>
        <w:tc>
          <w:tcPr>
            <w:tcW w:w="960" w:type="dxa"/>
            <w:tcBorders>
              <w:top w:val="nil"/>
              <w:left w:val="nil"/>
              <w:bottom w:val="nil"/>
              <w:right w:val="nil"/>
            </w:tcBorders>
            <w:noWrap/>
            <w:vAlign w:val="bottom"/>
          </w:tcPr>
          <w:p w:rsidR="00B83890" w:rsidRPr="00495082" w:rsidRDefault="00B83890" w:rsidP="006E6DC8">
            <w:pPr>
              <w:jc w:val="right"/>
              <w:rPr>
                <w:rFonts w:cs="Arial"/>
                <w:sz w:val="16"/>
                <w:szCs w:val="16"/>
              </w:rPr>
            </w:pPr>
          </w:p>
        </w:tc>
        <w:tc>
          <w:tcPr>
            <w:tcW w:w="960" w:type="dxa"/>
            <w:tcBorders>
              <w:top w:val="nil"/>
              <w:left w:val="nil"/>
              <w:bottom w:val="nil"/>
              <w:right w:val="nil"/>
            </w:tcBorders>
            <w:shd w:val="clear" w:color="000000" w:fill="D8D8D8"/>
            <w:noWrap/>
            <w:vAlign w:val="bottom"/>
          </w:tcPr>
          <w:p w:rsidR="00B83890" w:rsidRPr="00495082" w:rsidRDefault="00B83890" w:rsidP="006E6DC8">
            <w:pPr>
              <w:jc w:val="right"/>
              <w:rPr>
                <w:rFonts w:cs="Arial"/>
                <w:sz w:val="16"/>
                <w:szCs w:val="16"/>
              </w:rPr>
            </w:pPr>
            <w:r w:rsidRPr="00495082">
              <w:rPr>
                <w:rFonts w:cs="Arial"/>
                <w:sz w:val="16"/>
                <w:szCs w:val="16"/>
              </w:rPr>
              <w:t> </w:t>
            </w:r>
          </w:p>
        </w:tc>
      </w:tr>
      <w:tr w:rsidR="00B83890" w:rsidRPr="00495082" w:rsidTr="006E6DC8">
        <w:trPr>
          <w:trHeight w:val="225"/>
        </w:trPr>
        <w:tc>
          <w:tcPr>
            <w:tcW w:w="2340" w:type="dxa"/>
            <w:tcBorders>
              <w:top w:val="nil"/>
              <w:left w:val="nil"/>
              <w:bottom w:val="nil"/>
              <w:right w:val="nil"/>
            </w:tcBorders>
            <w:noWrap/>
            <w:vAlign w:val="bottom"/>
          </w:tcPr>
          <w:p w:rsidR="00B83890" w:rsidRPr="00495082" w:rsidRDefault="00B83890" w:rsidP="006E6DC8">
            <w:pPr>
              <w:rPr>
                <w:rFonts w:cs="Arial"/>
                <w:sz w:val="16"/>
                <w:szCs w:val="16"/>
              </w:rPr>
            </w:pPr>
            <w:r w:rsidRPr="00495082">
              <w:rPr>
                <w:rFonts w:cs="Arial"/>
                <w:sz w:val="16"/>
                <w:szCs w:val="16"/>
              </w:rPr>
              <w:t>Supplies and services</w:t>
            </w:r>
          </w:p>
        </w:tc>
        <w:tc>
          <w:tcPr>
            <w:tcW w:w="1320" w:type="dxa"/>
            <w:tcBorders>
              <w:top w:val="nil"/>
              <w:left w:val="nil"/>
              <w:bottom w:val="nil"/>
              <w:right w:val="nil"/>
            </w:tcBorders>
            <w:shd w:val="clear" w:color="000000" w:fill="D8D8D8"/>
            <w:noWrap/>
            <w:vAlign w:val="bottom"/>
          </w:tcPr>
          <w:p w:rsidR="00B83890" w:rsidRPr="00495082" w:rsidRDefault="00B83890" w:rsidP="006E6DC8">
            <w:pPr>
              <w:jc w:val="right"/>
              <w:rPr>
                <w:rFonts w:cs="Arial"/>
                <w:sz w:val="16"/>
                <w:szCs w:val="16"/>
              </w:rPr>
            </w:pPr>
            <w:r>
              <w:rPr>
                <w:rFonts w:cs="Arial"/>
                <w:sz w:val="16"/>
                <w:szCs w:val="16"/>
              </w:rPr>
              <w:t>6,111</w:t>
            </w:r>
            <w:r w:rsidRPr="00495082">
              <w:rPr>
                <w:rFonts w:cs="Arial"/>
                <w:sz w:val="16"/>
                <w:szCs w:val="16"/>
              </w:rPr>
              <w:t xml:space="preserve"> </w:t>
            </w:r>
          </w:p>
        </w:tc>
        <w:tc>
          <w:tcPr>
            <w:tcW w:w="1320" w:type="dxa"/>
            <w:tcBorders>
              <w:top w:val="nil"/>
              <w:left w:val="nil"/>
              <w:bottom w:val="nil"/>
              <w:right w:val="nil"/>
            </w:tcBorders>
            <w:noWrap/>
            <w:vAlign w:val="bottom"/>
          </w:tcPr>
          <w:p w:rsidR="00B83890" w:rsidRPr="00495082" w:rsidRDefault="00B83890" w:rsidP="006E6DC8">
            <w:pPr>
              <w:jc w:val="right"/>
              <w:rPr>
                <w:rFonts w:cs="Arial"/>
                <w:sz w:val="16"/>
                <w:szCs w:val="16"/>
              </w:rPr>
            </w:pPr>
            <w:r>
              <w:rPr>
                <w:rFonts w:cs="Arial"/>
                <w:sz w:val="16"/>
                <w:szCs w:val="16"/>
              </w:rPr>
              <w:t>6,111</w:t>
            </w:r>
            <w:r w:rsidRPr="00495082">
              <w:rPr>
                <w:rFonts w:cs="Arial"/>
                <w:sz w:val="16"/>
                <w:szCs w:val="16"/>
              </w:rPr>
              <w:t xml:space="preserve"> </w:t>
            </w:r>
          </w:p>
        </w:tc>
        <w:tc>
          <w:tcPr>
            <w:tcW w:w="960" w:type="dxa"/>
            <w:tcBorders>
              <w:top w:val="nil"/>
              <w:left w:val="nil"/>
              <w:bottom w:val="nil"/>
              <w:right w:val="nil"/>
            </w:tcBorders>
            <w:shd w:val="clear" w:color="000000" w:fill="D8D8D8"/>
            <w:noWrap/>
            <w:vAlign w:val="bottom"/>
          </w:tcPr>
          <w:p w:rsidR="00B83890" w:rsidRPr="00495082" w:rsidRDefault="00B83890" w:rsidP="006E6DC8">
            <w:pPr>
              <w:jc w:val="right"/>
              <w:rPr>
                <w:rFonts w:cs="Arial"/>
                <w:sz w:val="16"/>
                <w:szCs w:val="16"/>
              </w:rPr>
            </w:pPr>
            <w:r>
              <w:rPr>
                <w:rFonts w:cs="Arial"/>
                <w:sz w:val="16"/>
                <w:szCs w:val="16"/>
              </w:rPr>
              <w:t>6,111</w:t>
            </w:r>
          </w:p>
        </w:tc>
        <w:tc>
          <w:tcPr>
            <w:tcW w:w="960" w:type="dxa"/>
            <w:tcBorders>
              <w:top w:val="nil"/>
              <w:left w:val="nil"/>
              <w:bottom w:val="nil"/>
              <w:right w:val="nil"/>
            </w:tcBorders>
            <w:noWrap/>
            <w:vAlign w:val="bottom"/>
          </w:tcPr>
          <w:p w:rsidR="00B83890" w:rsidRPr="00495082" w:rsidRDefault="00B83890" w:rsidP="006E6DC8">
            <w:pPr>
              <w:jc w:val="right"/>
              <w:rPr>
                <w:rFonts w:cs="Arial"/>
                <w:sz w:val="16"/>
                <w:szCs w:val="16"/>
              </w:rPr>
            </w:pPr>
            <w:r>
              <w:rPr>
                <w:rFonts w:cs="Arial"/>
                <w:sz w:val="16"/>
                <w:szCs w:val="16"/>
              </w:rPr>
              <w:t>0</w:t>
            </w:r>
          </w:p>
        </w:tc>
        <w:tc>
          <w:tcPr>
            <w:tcW w:w="960" w:type="dxa"/>
            <w:tcBorders>
              <w:top w:val="nil"/>
              <w:left w:val="nil"/>
              <w:bottom w:val="nil"/>
              <w:right w:val="nil"/>
            </w:tcBorders>
            <w:shd w:val="clear" w:color="000000" w:fill="D8D8D8"/>
            <w:noWrap/>
            <w:vAlign w:val="bottom"/>
          </w:tcPr>
          <w:p w:rsidR="00B83890" w:rsidRPr="00495082" w:rsidRDefault="00B83890" w:rsidP="006E6DC8">
            <w:pPr>
              <w:jc w:val="right"/>
              <w:rPr>
                <w:rFonts w:cs="Arial"/>
                <w:sz w:val="16"/>
                <w:szCs w:val="16"/>
              </w:rPr>
            </w:pPr>
            <w:r>
              <w:rPr>
                <w:rFonts w:cs="Arial"/>
                <w:sz w:val="16"/>
                <w:szCs w:val="16"/>
              </w:rPr>
              <w:t>0</w:t>
            </w:r>
            <w:r w:rsidRPr="00495082">
              <w:rPr>
                <w:rFonts w:cs="Arial"/>
                <w:sz w:val="16"/>
                <w:szCs w:val="16"/>
              </w:rPr>
              <w:t> </w:t>
            </w:r>
          </w:p>
        </w:tc>
      </w:tr>
      <w:tr w:rsidR="00B83890" w:rsidRPr="00495082" w:rsidTr="006E6DC8">
        <w:trPr>
          <w:trHeight w:val="225"/>
        </w:trPr>
        <w:tc>
          <w:tcPr>
            <w:tcW w:w="2340" w:type="dxa"/>
            <w:tcBorders>
              <w:top w:val="nil"/>
              <w:left w:val="nil"/>
              <w:bottom w:val="nil"/>
              <w:right w:val="nil"/>
            </w:tcBorders>
            <w:noWrap/>
            <w:vAlign w:val="bottom"/>
          </w:tcPr>
          <w:p w:rsidR="00B83890" w:rsidRPr="00495082" w:rsidRDefault="00B83890" w:rsidP="006E6DC8">
            <w:pPr>
              <w:rPr>
                <w:rFonts w:cs="Arial"/>
                <w:b/>
                <w:bCs/>
                <w:sz w:val="16"/>
                <w:szCs w:val="16"/>
              </w:rPr>
            </w:pPr>
            <w:r w:rsidRPr="00495082">
              <w:rPr>
                <w:rFonts w:cs="Arial"/>
                <w:b/>
                <w:bCs/>
                <w:sz w:val="16"/>
                <w:szCs w:val="16"/>
              </w:rPr>
              <w:t>Borrowings</w:t>
            </w:r>
          </w:p>
        </w:tc>
        <w:tc>
          <w:tcPr>
            <w:tcW w:w="1320" w:type="dxa"/>
            <w:tcBorders>
              <w:top w:val="nil"/>
              <w:left w:val="nil"/>
              <w:bottom w:val="nil"/>
              <w:right w:val="nil"/>
            </w:tcBorders>
            <w:shd w:val="clear" w:color="000000" w:fill="D8D8D8"/>
            <w:noWrap/>
            <w:vAlign w:val="bottom"/>
          </w:tcPr>
          <w:p w:rsidR="00B83890" w:rsidRPr="00495082" w:rsidRDefault="00B83890" w:rsidP="006E6DC8">
            <w:pPr>
              <w:jc w:val="right"/>
              <w:rPr>
                <w:rFonts w:cs="Arial"/>
                <w:sz w:val="16"/>
                <w:szCs w:val="16"/>
              </w:rPr>
            </w:pPr>
            <w:r w:rsidRPr="00495082">
              <w:rPr>
                <w:rFonts w:cs="Arial"/>
                <w:sz w:val="16"/>
                <w:szCs w:val="16"/>
              </w:rPr>
              <w:t> </w:t>
            </w:r>
          </w:p>
        </w:tc>
        <w:tc>
          <w:tcPr>
            <w:tcW w:w="1320" w:type="dxa"/>
            <w:tcBorders>
              <w:top w:val="nil"/>
              <w:left w:val="nil"/>
              <w:bottom w:val="nil"/>
              <w:right w:val="nil"/>
            </w:tcBorders>
            <w:noWrap/>
            <w:vAlign w:val="bottom"/>
          </w:tcPr>
          <w:p w:rsidR="00B83890" w:rsidRPr="00495082" w:rsidRDefault="00B83890" w:rsidP="006E6DC8">
            <w:pPr>
              <w:jc w:val="right"/>
              <w:rPr>
                <w:rFonts w:cs="Arial"/>
                <w:sz w:val="16"/>
                <w:szCs w:val="16"/>
              </w:rPr>
            </w:pPr>
          </w:p>
        </w:tc>
        <w:tc>
          <w:tcPr>
            <w:tcW w:w="960" w:type="dxa"/>
            <w:tcBorders>
              <w:top w:val="nil"/>
              <w:left w:val="nil"/>
              <w:bottom w:val="nil"/>
              <w:right w:val="nil"/>
            </w:tcBorders>
            <w:shd w:val="clear" w:color="000000" w:fill="D8D8D8"/>
            <w:noWrap/>
            <w:vAlign w:val="bottom"/>
          </w:tcPr>
          <w:p w:rsidR="00B83890" w:rsidRPr="00495082" w:rsidRDefault="00B83890" w:rsidP="006E6DC8">
            <w:pPr>
              <w:jc w:val="right"/>
              <w:rPr>
                <w:rFonts w:cs="Arial"/>
                <w:sz w:val="16"/>
                <w:szCs w:val="16"/>
              </w:rPr>
            </w:pPr>
            <w:r w:rsidRPr="00495082">
              <w:rPr>
                <w:rFonts w:cs="Arial"/>
                <w:sz w:val="16"/>
                <w:szCs w:val="16"/>
              </w:rPr>
              <w:t> </w:t>
            </w:r>
          </w:p>
        </w:tc>
        <w:tc>
          <w:tcPr>
            <w:tcW w:w="960" w:type="dxa"/>
            <w:tcBorders>
              <w:top w:val="nil"/>
              <w:left w:val="nil"/>
              <w:bottom w:val="nil"/>
              <w:right w:val="nil"/>
            </w:tcBorders>
            <w:noWrap/>
            <w:vAlign w:val="bottom"/>
          </w:tcPr>
          <w:p w:rsidR="00B83890" w:rsidRPr="00495082" w:rsidRDefault="00B83890" w:rsidP="006E6DC8">
            <w:pPr>
              <w:jc w:val="right"/>
              <w:rPr>
                <w:rFonts w:cs="Arial"/>
                <w:sz w:val="16"/>
                <w:szCs w:val="16"/>
              </w:rPr>
            </w:pPr>
          </w:p>
        </w:tc>
        <w:tc>
          <w:tcPr>
            <w:tcW w:w="960" w:type="dxa"/>
            <w:tcBorders>
              <w:top w:val="nil"/>
              <w:left w:val="nil"/>
              <w:bottom w:val="nil"/>
              <w:right w:val="nil"/>
            </w:tcBorders>
            <w:shd w:val="clear" w:color="000000" w:fill="D8D8D8"/>
            <w:noWrap/>
            <w:vAlign w:val="bottom"/>
          </w:tcPr>
          <w:p w:rsidR="00B83890" w:rsidRPr="00495082" w:rsidRDefault="00B83890" w:rsidP="006E6DC8">
            <w:pPr>
              <w:jc w:val="right"/>
              <w:rPr>
                <w:rFonts w:cs="Arial"/>
                <w:sz w:val="16"/>
                <w:szCs w:val="16"/>
              </w:rPr>
            </w:pPr>
            <w:r w:rsidRPr="00495082">
              <w:rPr>
                <w:rFonts w:cs="Arial"/>
                <w:sz w:val="16"/>
                <w:szCs w:val="16"/>
              </w:rPr>
              <w:t> </w:t>
            </w:r>
          </w:p>
        </w:tc>
      </w:tr>
      <w:tr w:rsidR="00B83890" w:rsidRPr="00495082" w:rsidTr="006E6DC8">
        <w:trPr>
          <w:trHeight w:val="225"/>
        </w:trPr>
        <w:tc>
          <w:tcPr>
            <w:tcW w:w="2340" w:type="dxa"/>
            <w:tcBorders>
              <w:top w:val="nil"/>
              <w:left w:val="nil"/>
              <w:bottom w:val="single" w:sz="4" w:space="0" w:color="auto"/>
              <w:right w:val="nil"/>
            </w:tcBorders>
            <w:noWrap/>
            <w:vAlign w:val="bottom"/>
          </w:tcPr>
          <w:p w:rsidR="00B83890" w:rsidRPr="00495082" w:rsidRDefault="00B83890" w:rsidP="006E6DC8">
            <w:pPr>
              <w:rPr>
                <w:rFonts w:cs="Arial"/>
                <w:sz w:val="16"/>
                <w:szCs w:val="16"/>
              </w:rPr>
            </w:pPr>
            <w:r w:rsidRPr="00495082">
              <w:rPr>
                <w:rFonts w:cs="Arial"/>
                <w:sz w:val="16"/>
                <w:szCs w:val="16"/>
              </w:rPr>
              <w:t>Lease liabilities</w:t>
            </w:r>
          </w:p>
        </w:tc>
        <w:tc>
          <w:tcPr>
            <w:tcW w:w="1320" w:type="dxa"/>
            <w:tcBorders>
              <w:top w:val="nil"/>
              <w:left w:val="nil"/>
              <w:bottom w:val="single" w:sz="4" w:space="0" w:color="auto"/>
              <w:right w:val="nil"/>
            </w:tcBorders>
            <w:shd w:val="clear" w:color="000000" w:fill="D8D8D8"/>
            <w:noWrap/>
            <w:vAlign w:val="bottom"/>
          </w:tcPr>
          <w:p w:rsidR="00B83890" w:rsidRPr="00495082" w:rsidRDefault="00B83890" w:rsidP="006E6DC8">
            <w:pPr>
              <w:jc w:val="right"/>
              <w:rPr>
                <w:rFonts w:cs="Arial"/>
                <w:sz w:val="16"/>
                <w:szCs w:val="16"/>
              </w:rPr>
            </w:pPr>
            <w:r>
              <w:rPr>
                <w:rFonts w:cs="Arial"/>
                <w:sz w:val="16"/>
                <w:szCs w:val="16"/>
              </w:rPr>
              <w:t>332</w:t>
            </w:r>
            <w:r w:rsidRPr="00495082">
              <w:rPr>
                <w:rFonts w:cs="Arial"/>
                <w:sz w:val="16"/>
                <w:szCs w:val="16"/>
              </w:rPr>
              <w:t xml:space="preserve"> </w:t>
            </w:r>
          </w:p>
        </w:tc>
        <w:tc>
          <w:tcPr>
            <w:tcW w:w="1320" w:type="dxa"/>
            <w:tcBorders>
              <w:top w:val="nil"/>
              <w:left w:val="nil"/>
              <w:bottom w:val="single" w:sz="4" w:space="0" w:color="auto"/>
              <w:right w:val="nil"/>
            </w:tcBorders>
            <w:noWrap/>
            <w:vAlign w:val="bottom"/>
          </w:tcPr>
          <w:p w:rsidR="00B83890" w:rsidRPr="00495082" w:rsidRDefault="00B83890" w:rsidP="006E6DC8">
            <w:pPr>
              <w:jc w:val="right"/>
              <w:rPr>
                <w:rFonts w:cs="Arial"/>
                <w:sz w:val="16"/>
                <w:szCs w:val="16"/>
              </w:rPr>
            </w:pPr>
            <w:r>
              <w:rPr>
                <w:rFonts w:cs="Arial"/>
                <w:sz w:val="16"/>
                <w:szCs w:val="16"/>
              </w:rPr>
              <w:t>332</w:t>
            </w:r>
            <w:r w:rsidRPr="00495082">
              <w:rPr>
                <w:rFonts w:cs="Arial"/>
                <w:sz w:val="16"/>
                <w:szCs w:val="16"/>
              </w:rPr>
              <w:t xml:space="preserve"> </w:t>
            </w:r>
          </w:p>
        </w:tc>
        <w:tc>
          <w:tcPr>
            <w:tcW w:w="960" w:type="dxa"/>
            <w:tcBorders>
              <w:top w:val="nil"/>
              <w:left w:val="nil"/>
              <w:bottom w:val="single" w:sz="4" w:space="0" w:color="auto"/>
              <w:right w:val="nil"/>
            </w:tcBorders>
            <w:shd w:val="clear" w:color="000000" w:fill="D8D8D8"/>
            <w:noWrap/>
            <w:vAlign w:val="bottom"/>
          </w:tcPr>
          <w:p w:rsidR="00B83890" w:rsidRPr="00495082" w:rsidRDefault="00B83890" w:rsidP="006E6DC8">
            <w:pPr>
              <w:jc w:val="right"/>
              <w:rPr>
                <w:rFonts w:cs="Arial"/>
                <w:sz w:val="16"/>
                <w:szCs w:val="16"/>
              </w:rPr>
            </w:pPr>
            <w:r>
              <w:rPr>
                <w:rFonts w:cs="Arial"/>
                <w:sz w:val="16"/>
                <w:szCs w:val="16"/>
              </w:rPr>
              <w:t>199</w:t>
            </w:r>
            <w:r w:rsidRPr="00495082">
              <w:rPr>
                <w:rFonts w:cs="Arial"/>
                <w:sz w:val="16"/>
                <w:szCs w:val="16"/>
              </w:rPr>
              <w:t xml:space="preserve"> </w:t>
            </w:r>
          </w:p>
        </w:tc>
        <w:tc>
          <w:tcPr>
            <w:tcW w:w="960" w:type="dxa"/>
            <w:tcBorders>
              <w:top w:val="nil"/>
              <w:left w:val="nil"/>
              <w:bottom w:val="single" w:sz="4" w:space="0" w:color="auto"/>
              <w:right w:val="nil"/>
            </w:tcBorders>
            <w:noWrap/>
            <w:vAlign w:val="bottom"/>
          </w:tcPr>
          <w:p w:rsidR="00B83890" w:rsidRPr="00495082" w:rsidRDefault="00B83890" w:rsidP="006E6DC8">
            <w:pPr>
              <w:jc w:val="right"/>
              <w:rPr>
                <w:rFonts w:cs="Arial"/>
                <w:sz w:val="16"/>
                <w:szCs w:val="16"/>
              </w:rPr>
            </w:pPr>
            <w:r>
              <w:rPr>
                <w:rFonts w:cs="Arial"/>
                <w:sz w:val="16"/>
                <w:szCs w:val="16"/>
              </w:rPr>
              <w:t>133</w:t>
            </w:r>
          </w:p>
        </w:tc>
        <w:tc>
          <w:tcPr>
            <w:tcW w:w="960" w:type="dxa"/>
            <w:tcBorders>
              <w:top w:val="nil"/>
              <w:left w:val="nil"/>
              <w:bottom w:val="single" w:sz="4" w:space="0" w:color="auto"/>
              <w:right w:val="nil"/>
            </w:tcBorders>
            <w:shd w:val="clear" w:color="000000" w:fill="D8D8D8"/>
            <w:noWrap/>
            <w:vAlign w:val="bottom"/>
          </w:tcPr>
          <w:p w:rsidR="00B83890" w:rsidRPr="00495082" w:rsidRDefault="00B83890" w:rsidP="006E6DC8">
            <w:pPr>
              <w:jc w:val="right"/>
              <w:rPr>
                <w:rFonts w:cs="Arial"/>
                <w:sz w:val="16"/>
                <w:szCs w:val="16"/>
              </w:rPr>
            </w:pPr>
            <w:r>
              <w:rPr>
                <w:rFonts w:cs="Arial"/>
                <w:sz w:val="16"/>
                <w:szCs w:val="16"/>
              </w:rPr>
              <w:t>0</w:t>
            </w:r>
            <w:r w:rsidRPr="00495082">
              <w:rPr>
                <w:rFonts w:cs="Arial"/>
                <w:sz w:val="16"/>
                <w:szCs w:val="16"/>
              </w:rPr>
              <w:t> </w:t>
            </w:r>
          </w:p>
        </w:tc>
      </w:tr>
      <w:tr w:rsidR="00B83890" w:rsidRPr="00495082" w:rsidTr="006E6DC8">
        <w:trPr>
          <w:trHeight w:val="225"/>
        </w:trPr>
        <w:tc>
          <w:tcPr>
            <w:tcW w:w="2340" w:type="dxa"/>
            <w:tcBorders>
              <w:top w:val="nil"/>
              <w:left w:val="nil"/>
              <w:bottom w:val="single" w:sz="4" w:space="0" w:color="auto"/>
              <w:right w:val="nil"/>
            </w:tcBorders>
            <w:noWrap/>
            <w:vAlign w:val="bottom"/>
          </w:tcPr>
          <w:p w:rsidR="00B83890" w:rsidRPr="00495082" w:rsidRDefault="00B83890" w:rsidP="006E6DC8">
            <w:pPr>
              <w:rPr>
                <w:rFonts w:cs="Arial"/>
                <w:b/>
                <w:bCs/>
                <w:sz w:val="16"/>
                <w:szCs w:val="16"/>
              </w:rPr>
            </w:pPr>
            <w:r w:rsidRPr="00495082">
              <w:rPr>
                <w:rFonts w:cs="Arial"/>
                <w:b/>
                <w:bCs/>
                <w:sz w:val="16"/>
                <w:szCs w:val="16"/>
              </w:rPr>
              <w:t>Total</w:t>
            </w:r>
          </w:p>
        </w:tc>
        <w:tc>
          <w:tcPr>
            <w:tcW w:w="1320" w:type="dxa"/>
            <w:tcBorders>
              <w:top w:val="nil"/>
              <w:left w:val="nil"/>
              <w:bottom w:val="single" w:sz="4" w:space="0" w:color="auto"/>
              <w:right w:val="nil"/>
            </w:tcBorders>
            <w:shd w:val="clear" w:color="000000" w:fill="D8D8D8"/>
            <w:noWrap/>
            <w:vAlign w:val="bottom"/>
          </w:tcPr>
          <w:p w:rsidR="00B83890" w:rsidRPr="00495082" w:rsidRDefault="00B83890" w:rsidP="006E6DC8">
            <w:pPr>
              <w:jc w:val="right"/>
              <w:rPr>
                <w:rFonts w:cs="Arial"/>
                <w:b/>
                <w:bCs/>
                <w:sz w:val="16"/>
                <w:szCs w:val="16"/>
              </w:rPr>
            </w:pPr>
            <w:r>
              <w:rPr>
                <w:rFonts w:cs="Arial"/>
                <w:b/>
                <w:bCs/>
                <w:sz w:val="16"/>
                <w:szCs w:val="16"/>
              </w:rPr>
              <w:t>6,443</w:t>
            </w:r>
            <w:r w:rsidRPr="00495082">
              <w:rPr>
                <w:rFonts w:cs="Arial"/>
                <w:b/>
                <w:bCs/>
                <w:sz w:val="16"/>
                <w:szCs w:val="16"/>
              </w:rPr>
              <w:t xml:space="preserve"> </w:t>
            </w:r>
          </w:p>
        </w:tc>
        <w:tc>
          <w:tcPr>
            <w:tcW w:w="1320" w:type="dxa"/>
            <w:tcBorders>
              <w:top w:val="nil"/>
              <w:left w:val="nil"/>
              <w:bottom w:val="single" w:sz="4" w:space="0" w:color="auto"/>
              <w:right w:val="nil"/>
            </w:tcBorders>
            <w:noWrap/>
            <w:vAlign w:val="bottom"/>
          </w:tcPr>
          <w:p w:rsidR="00B83890" w:rsidRPr="00495082" w:rsidRDefault="00B83890" w:rsidP="006E6DC8">
            <w:pPr>
              <w:jc w:val="right"/>
              <w:rPr>
                <w:rFonts w:cs="Arial"/>
                <w:b/>
                <w:bCs/>
                <w:sz w:val="16"/>
                <w:szCs w:val="16"/>
              </w:rPr>
            </w:pPr>
            <w:r>
              <w:rPr>
                <w:rFonts w:cs="Arial"/>
                <w:b/>
                <w:bCs/>
                <w:sz w:val="16"/>
                <w:szCs w:val="16"/>
              </w:rPr>
              <w:t>6,443</w:t>
            </w:r>
            <w:r w:rsidRPr="00495082">
              <w:rPr>
                <w:rFonts w:cs="Arial"/>
                <w:b/>
                <w:bCs/>
                <w:sz w:val="16"/>
                <w:szCs w:val="16"/>
              </w:rPr>
              <w:t xml:space="preserve"> </w:t>
            </w:r>
          </w:p>
        </w:tc>
        <w:tc>
          <w:tcPr>
            <w:tcW w:w="960" w:type="dxa"/>
            <w:tcBorders>
              <w:top w:val="nil"/>
              <w:left w:val="nil"/>
              <w:bottom w:val="single" w:sz="4" w:space="0" w:color="auto"/>
              <w:right w:val="nil"/>
            </w:tcBorders>
            <w:shd w:val="clear" w:color="000000" w:fill="D8D8D8"/>
            <w:noWrap/>
            <w:vAlign w:val="bottom"/>
          </w:tcPr>
          <w:p w:rsidR="00B83890" w:rsidRPr="00495082" w:rsidRDefault="00B83890" w:rsidP="006E6DC8">
            <w:pPr>
              <w:jc w:val="right"/>
              <w:rPr>
                <w:rFonts w:cs="Arial"/>
                <w:b/>
                <w:bCs/>
                <w:sz w:val="16"/>
                <w:szCs w:val="16"/>
              </w:rPr>
            </w:pPr>
            <w:r>
              <w:rPr>
                <w:rFonts w:cs="Arial"/>
                <w:b/>
                <w:bCs/>
                <w:sz w:val="16"/>
                <w:szCs w:val="16"/>
              </w:rPr>
              <w:t>6,310</w:t>
            </w:r>
            <w:r w:rsidRPr="00495082">
              <w:rPr>
                <w:rFonts w:cs="Arial"/>
                <w:b/>
                <w:bCs/>
                <w:sz w:val="16"/>
                <w:szCs w:val="16"/>
              </w:rPr>
              <w:t xml:space="preserve"> </w:t>
            </w:r>
          </w:p>
        </w:tc>
        <w:tc>
          <w:tcPr>
            <w:tcW w:w="960" w:type="dxa"/>
            <w:tcBorders>
              <w:top w:val="nil"/>
              <w:left w:val="nil"/>
              <w:bottom w:val="single" w:sz="4" w:space="0" w:color="auto"/>
              <w:right w:val="nil"/>
            </w:tcBorders>
            <w:noWrap/>
            <w:vAlign w:val="bottom"/>
          </w:tcPr>
          <w:p w:rsidR="00B83890" w:rsidRPr="00495082" w:rsidRDefault="00B83890" w:rsidP="006E6DC8">
            <w:pPr>
              <w:jc w:val="right"/>
              <w:rPr>
                <w:rFonts w:cs="Arial"/>
                <w:b/>
                <w:bCs/>
                <w:sz w:val="16"/>
                <w:szCs w:val="16"/>
              </w:rPr>
            </w:pPr>
            <w:r>
              <w:rPr>
                <w:rFonts w:cs="Arial"/>
                <w:b/>
                <w:bCs/>
                <w:sz w:val="16"/>
                <w:szCs w:val="16"/>
              </w:rPr>
              <w:t>133</w:t>
            </w:r>
          </w:p>
        </w:tc>
        <w:tc>
          <w:tcPr>
            <w:tcW w:w="960" w:type="dxa"/>
            <w:tcBorders>
              <w:top w:val="nil"/>
              <w:left w:val="nil"/>
              <w:bottom w:val="single" w:sz="4" w:space="0" w:color="auto"/>
              <w:right w:val="nil"/>
            </w:tcBorders>
            <w:shd w:val="clear" w:color="000000" w:fill="D8D8D8"/>
            <w:noWrap/>
            <w:vAlign w:val="bottom"/>
          </w:tcPr>
          <w:p w:rsidR="00B83890" w:rsidRPr="00495082" w:rsidRDefault="00B83890" w:rsidP="006E6DC8">
            <w:pPr>
              <w:jc w:val="right"/>
              <w:rPr>
                <w:rFonts w:cs="Arial"/>
                <w:b/>
                <w:bCs/>
                <w:sz w:val="16"/>
                <w:szCs w:val="16"/>
              </w:rPr>
            </w:pPr>
            <w:r w:rsidRPr="00495082">
              <w:rPr>
                <w:rFonts w:cs="Arial"/>
                <w:b/>
                <w:bCs/>
                <w:sz w:val="16"/>
                <w:szCs w:val="16"/>
              </w:rPr>
              <w:t>0</w:t>
            </w:r>
          </w:p>
        </w:tc>
      </w:tr>
    </w:tbl>
    <w:p w:rsidR="00B83890" w:rsidRDefault="00B83890" w:rsidP="00B83890"/>
    <w:p w:rsidR="00B83890" w:rsidRDefault="00B83890" w:rsidP="00B83890"/>
    <w:p w:rsidR="00B83890" w:rsidRPr="007B252F" w:rsidRDefault="00B83890" w:rsidP="002F6ECA">
      <w:pPr>
        <w:pStyle w:val="Heading4"/>
      </w:pPr>
      <w:r w:rsidRPr="007B252F">
        <w:t>(</w:t>
      </w:r>
      <w:r>
        <w:t>e</w:t>
      </w:r>
      <w:r w:rsidRPr="007B252F">
        <w:t xml:space="preserve">) </w:t>
      </w:r>
      <w:r>
        <w:t>Market</w:t>
      </w:r>
      <w:r w:rsidRPr="007B252F">
        <w:t xml:space="preserve"> Risk </w:t>
      </w:r>
    </w:p>
    <w:p w:rsidR="00B83890" w:rsidRDefault="00B83890" w:rsidP="00B83890">
      <w:pPr>
        <w:rPr>
          <w:b/>
        </w:rPr>
      </w:pPr>
    </w:p>
    <w:p w:rsidR="00B83890" w:rsidRDefault="00B83890" w:rsidP="0099724A">
      <w:r w:rsidRPr="00FF5952">
        <w:t xml:space="preserve">The </w:t>
      </w:r>
      <w:r>
        <w:t>entity</w:t>
      </w:r>
      <w:r w:rsidRPr="00FF5952">
        <w:t xml:space="preserve">’s exposures to market risk are primarily through interest rate risk with only insignificant exposure to foreign currency and other price risks. </w:t>
      </w:r>
      <w:r w:rsidRPr="000F7109">
        <w:t>Objectives, policies and processes used to manage each of these risks are disclosed in the paragraphs below.</w:t>
      </w:r>
    </w:p>
    <w:p w:rsidR="00B83890" w:rsidRDefault="00B83890" w:rsidP="0099724A"/>
    <w:p w:rsidR="00B83890" w:rsidRPr="00971B5A" w:rsidRDefault="00B83890" w:rsidP="0099724A">
      <w:pPr>
        <w:rPr>
          <w:i/>
        </w:rPr>
      </w:pPr>
      <w:r w:rsidRPr="00971B5A">
        <w:rPr>
          <w:i/>
        </w:rPr>
        <w:t>Foreign currency risk</w:t>
      </w:r>
    </w:p>
    <w:p w:rsidR="00B83890" w:rsidRPr="00FF5952" w:rsidRDefault="00B83890" w:rsidP="0099724A">
      <w:r w:rsidRPr="00FF5952">
        <w:t xml:space="preserve">The </w:t>
      </w:r>
      <w:r>
        <w:t>entity</w:t>
      </w:r>
      <w:r w:rsidRPr="00FF5952">
        <w:t xml:space="preserve"> is exposed to insignificant foreign currency risk through its payables relating to purchases of supplies and consumables from overseas. This is because of a limited amount of purchases denominated in foreign currencies and a short timeframe between commitment and settlement.</w:t>
      </w:r>
    </w:p>
    <w:p w:rsidR="00B83890" w:rsidRDefault="00B83890" w:rsidP="0099724A">
      <w:r w:rsidRPr="00FF5952">
        <w:t xml:space="preserve">The </w:t>
      </w:r>
      <w:r>
        <w:t>entity</w:t>
      </w:r>
      <w:r w:rsidRPr="00FF5952">
        <w:t xml:space="preserve"> manages its risk through continuous monitoring of movements in exchange rates and ensures availability of funds through rigorous cash flow planning and monitoring.</w:t>
      </w:r>
    </w:p>
    <w:p w:rsidR="00B83890" w:rsidRDefault="00B83890" w:rsidP="0099724A">
      <w:pPr>
        <w:rPr>
          <w:b/>
        </w:rPr>
      </w:pPr>
    </w:p>
    <w:p w:rsidR="00B83890" w:rsidRPr="00971B5A" w:rsidRDefault="00B83890" w:rsidP="0099724A">
      <w:pPr>
        <w:rPr>
          <w:i/>
        </w:rPr>
      </w:pPr>
      <w:r w:rsidRPr="00971B5A">
        <w:rPr>
          <w:i/>
        </w:rPr>
        <w:t>Interest rate risk</w:t>
      </w:r>
    </w:p>
    <w:p w:rsidR="00B83890" w:rsidRDefault="00B83890" w:rsidP="0099724A">
      <w:r w:rsidRPr="00612EFA">
        <w:t>Exposure to interest rate risk arise</w:t>
      </w:r>
      <w:r>
        <w:t>s</w:t>
      </w:r>
      <w:r w:rsidRPr="00612EFA">
        <w:t xml:space="preserve"> primarily through the </w:t>
      </w:r>
      <w:r>
        <w:t>entity’s</w:t>
      </w:r>
      <w:r w:rsidRPr="00612EFA">
        <w:t xml:space="preserve"> </w:t>
      </w:r>
      <w:r>
        <w:t>interest bearing cash and cash equivalents assets</w:t>
      </w:r>
      <w:r w:rsidRPr="00612EFA">
        <w:t xml:space="preserve">. Minimisation of risk is achieved by mainly undertaking </w:t>
      </w:r>
      <w:r>
        <w:t>short-term fixed-rate cash investments.</w:t>
      </w:r>
      <w:r w:rsidRPr="00612EFA">
        <w:t xml:space="preserve"> </w:t>
      </w:r>
    </w:p>
    <w:p w:rsidR="00B83890" w:rsidRPr="0099724A" w:rsidRDefault="0099724A" w:rsidP="0099724A">
      <w:pPr>
        <w:rPr>
          <w:b/>
        </w:rPr>
      </w:pPr>
      <w:r>
        <w:br w:type="page"/>
      </w:r>
      <w:r w:rsidR="00B83890" w:rsidRPr="0099724A">
        <w:rPr>
          <w:b/>
        </w:rPr>
        <w:lastRenderedPageBreak/>
        <w:t>19.</w:t>
      </w:r>
      <w:r w:rsidR="00B83890" w:rsidRPr="0099724A">
        <w:rPr>
          <w:b/>
        </w:rPr>
        <w:tab/>
        <w:t>FINANCIAL INSTRUMENTS (CONT’D)</w:t>
      </w:r>
    </w:p>
    <w:p w:rsidR="00B83890" w:rsidRPr="004901CD" w:rsidRDefault="00B83890" w:rsidP="00B83890"/>
    <w:p w:rsidR="00B83890" w:rsidRPr="007B252F" w:rsidRDefault="00B83890" w:rsidP="00B83890">
      <w:pPr>
        <w:rPr>
          <w:b/>
        </w:rPr>
      </w:pPr>
      <w:r w:rsidRPr="007B252F">
        <w:rPr>
          <w:b/>
        </w:rPr>
        <w:t>(</w:t>
      </w:r>
      <w:r>
        <w:rPr>
          <w:b/>
        </w:rPr>
        <w:t>e</w:t>
      </w:r>
      <w:r w:rsidRPr="007B252F">
        <w:rPr>
          <w:b/>
        </w:rPr>
        <w:t xml:space="preserve">) </w:t>
      </w:r>
      <w:r>
        <w:rPr>
          <w:b/>
        </w:rPr>
        <w:t>Market</w:t>
      </w:r>
      <w:r w:rsidRPr="007B252F">
        <w:rPr>
          <w:b/>
        </w:rPr>
        <w:t xml:space="preserve"> Risk </w:t>
      </w:r>
      <w:r w:rsidRPr="00706E61">
        <w:rPr>
          <w:b/>
        </w:rPr>
        <w:t>(cont</w:t>
      </w:r>
      <w:r>
        <w:rPr>
          <w:b/>
        </w:rPr>
        <w:t>’</w:t>
      </w:r>
      <w:r w:rsidRPr="00706E61">
        <w:rPr>
          <w:b/>
        </w:rPr>
        <w:t>d)</w:t>
      </w:r>
    </w:p>
    <w:p w:rsidR="00B83890" w:rsidRPr="004901CD" w:rsidRDefault="00B83890" w:rsidP="00B83890"/>
    <w:p w:rsidR="00B83890" w:rsidRPr="00612EFA" w:rsidRDefault="00B83890" w:rsidP="00B83890">
      <w:pPr>
        <w:rPr>
          <w:rFonts w:cs="Arial"/>
        </w:rPr>
      </w:pPr>
      <w:r>
        <w:rPr>
          <w:rFonts w:cs="Arial"/>
        </w:rPr>
        <w:t>The impact of a reasonably possible 1% increase or decrease in interest rates is not expected to have a material effect on the entity’s net result or equity.</w:t>
      </w:r>
    </w:p>
    <w:p w:rsidR="00B83890" w:rsidRPr="007B252F" w:rsidRDefault="00B83890" w:rsidP="00B83890">
      <w:pPr>
        <w:rPr>
          <w:b/>
        </w:rPr>
      </w:pPr>
    </w:p>
    <w:p w:rsidR="00B83890" w:rsidRDefault="00B83890" w:rsidP="00B83890">
      <w:r w:rsidRPr="007B252F">
        <w:t>Museum Victoria’s exposure to interest rate risk and the effective weighted average interest rate for each class of financial assets and liabilities is set out below.</w:t>
      </w:r>
    </w:p>
    <w:p w:rsidR="00B83890" w:rsidRPr="007B252F" w:rsidRDefault="00B83890" w:rsidP="00B83890"/>
    <w:p w:rsidR="00B83890" w:rsidRDefault="00B83890" w:rsidP="00B83890">
      <w:pPr>
        <w:tabs>
          <w:tab w:val="left" w:pos="525"/>
        </w:tabs>
        <w:rPr>
          <w:rFonts w:cs="Arial"/>
          <w:b/>
          <w:color w:val="FF0000"/>
        </w:rPr>
      </w:pPr>
    </w:p>
    <w:tbl>
      <w:tblPr>
        <w:tblW w:w="8500" w:type="dxa"/>
        <w:tblInd w:w="93" w:type="dxa"/>
        <w:tblLook w:val="00A0" w:firstRow="1" w:lastRow="0" w:firstColumn="1" w:lastColumn="0" w:noHBand="0" w:noVBand="0"/>
        <w:tblCaption w:val="Financial Instruments: Market Risk"/>
        <w:tblDescription w:val="This table shows the Interest Rate Exposure of Financial Instuments for 2012–13 with comparison to 2011–12."/>
      </w:tblPr>
      <w:tblGrid>
        <w:gridCol w:w="3220"/>
        <w:gridCol w:w="1180"/>
        <w:gridCol w:w="1020"/>
        <w:gridCol w:w="1000"/>
        <w:gridCol w:w="1000"/>
        <w:gridCol w:w="1080"/>
      </w:tblGrid>
      <w:tr w:rsidR="00B83890" w:rsidRPr="00A33C6E" w:rsidTr="006E6DC8">
        <w:trPr>
          <w:trHeight w:val="240"/>
        </w:trPr>
        <w:tc>
          <w:tcPr>
            <w:tcW w:w="4400" w:type="dxa"/>
            <w:gridSpan w:val="2"/>
            <w:tcBorders>
              <w:top w:val="nil"/>
              <w:left w:val="nil"/>
              <w:bottom w:val="single" w:sz="4" w:space="0" w:color="auto"/>
              <w:right w:val="nil"/>
            </w:tcBorders>
            <w:noWrap/>
            <w:vAlign w:val="bottom"/>
          </w:tcPr>
          <w:p w:rsidR="00B83890" w:rsidRPr="00A33C6E" w:rsidRDefault="00B83890" w:rsidP="006E6DC8">
            <w:pPr>
              <w:rPr>
                <w:rFonts w:cs="Arial"/>
                <w:b/>
                <w:bCs/>
                <w:sz w:val="18"/>
                <w:szCs w:val="18"/>
              </w:rPr>
            </w:pPr>
            <w:r w:rsidRPr="00A33C6E">
              <w:rPr>
                <w:rFonts w:cs="Arial"/>
                <w:b/>
                <w:bCs/>
                <w:sz w:val="18"/>
                <w:szCs w:val="18"/>
              </w:rPr>
              <w:t>Interest rate exposure of financial instruments</w:t>
            </w:r>
          </w:p>
        </w:tc>
        <w:tc>
          <w:tcPr>
            <w:tcW w:w="1020" w:type="dxa"/>
            <w:tcBorders>
              <w:top w:val="nil"/>
              <w:left w:val="nil"/>
              <w:bottom w:val="single" w:sz="4" w:space="0" w:color="auto"/>
              <w:right w:val="nil"/>
            </w:tcBorders>
            <w:noWrap/>
            <w:vAlign w:val="bottom"/>
          </w:tcPr>
          <w:p w:rsidR="00B83890" w:rsidRPr="00A33C6E" w:rsidRDefault="00B83890" w:rsidP="006E6DC8">
            <w:pPr>
              <w:rPr>
                <w:rFonts w:cs="Arial"/>
                <w:sz w:val="18"/>
                <w:szCs w:val="18"/>
              </w:rPr>
            </w:pPr>
            <w:r w:rsidRPr="00A33C6E">
              <w:rPr>
                <w:rFonts w:cs="Arial"/>
                <w:sz w:val="18"/>
                <w:szCs w:val="18"/>
              </w:rPr>
              <w:t> </w:t>
            </w:r>
          </w:p>
        </w:tc>
        <w:tc>
          <w:tcPr>
            <w:tcW w:w="1000" w:type="dxa"/>
            <w:tcBorders>
              <w:top w:val="nil"/>
              <w:left w:val="nil"/>
              <w:bottom w:val="single" w:sz="4" w:space="0" w:color="auto"/>
              <w:right w:val="nil"/>
            </w:tcBorders>
            <w:noWrap/>
            <w:vAlign w:val="bottom"/>
          </w:tcPr>
          <w:p w:rsidR="00B83890" w:rsidRPr="00A33C6E" w:rsidRDefault="00B83890" w:rsidP="006E6DC8">
            <w:pPr>
              <w:rPr>
                <w:rFonts w:cs="Arial"/>
                <w:sz w:val="18"/>
                <w:szCs w:val="18"/>
              </w:rPr>
            </w:pPr>
            <w:r w:rsidRPr="00A33C6E">
              <w:rPr>
                <w:rFonts w:cs="Arial"/>
                <w:sz w:val="18"/>
                <w:szCs w:val="18"/>
              </w:rPr>
              <w:t> </w:t>
            </w:r>
          </w:p>
        </w:tc>
        <w:tc>
          <w:tcPr>
            <w:tcW w:w="1000" w:type="dxa"/>
            <w:tcBorders>
              <w:top w:val="nil"/>
              <w:left w:val="nil"/>
              <w:bottom w:val="single" w:sz="4" w:space="0" w:color="auto"/>
              <w:right w:val="nil"/>
            </w:tcBorders>
            <w:noWrap/>
            <w:vAlign w:val="bottom"/>
          </w:tcPr>
          <w:p w:rsidR="00B83890" w:rsidRPr="00A33C6E" w:rsidRDefault="00B83890" w:rsidP="006E6DC8">
            <w:pPr>
              <w:rPr>
                <w:rFonts w:cs="Arial"/>
                <w:sz w:val="18"/>
                <w:szCs w:val="18"/>
              </w:rPr>
            </w:pPr>
            <w:r w:rsidRPr="00A33C6E">
              <w:rPr>
                <w:rFonts w:cs="Arial"/>
                <w:sz w:val="18"/>
                <w:szCs w:val="18"/>
              </w:rPr>
              <w:t> </w:t>
            </w:r>
          </w:p>
        </w:tc>
        <w:tc>
          <w:tcPr>
            <w:tcW w:w="1080" w:type="dxa"/>
            <w:tcBorders>
              <w:top w:val="nil"/>
              <w:left w:val="nil"/>
              <w:bottom w:val="single" w:sz="4" w:space="0" w:color="auto"/>
              <w:right w:val="nil"/>
            </w:tcBorders>
            <w:noWrap/>
            <w:vAlign w:val="bottom"/>
          </w:tcPr>
          <w:p w:rsidR="00B83890" w:rsidRPr="00A33C6E" w:rsidRDefault="00B83890" w:rsidP="006E6DC8">
            <w:pPr>
              <w:jc w:val="right"/>
              <w:rPr>
                <w:rFonts w:cs="Arial"/>
                <w:b/>
                <w:bCs/>
                <w:i/>
                <w:iCs/>
                <w:sz w:val="18"/>
                <w:szCs w:val="18"/>
              </w:rPr>
            </w:pPr>
            <w:r w:rsidRPr="00A33C6E">
              <w:rPr>
                <w:rFonts w:cs="Arial"/>
                <w:b/>
                <w:bCs/>
                <w:i/>
                <w:iCs/>
                <w:sz w:val="18"/>
                <w:szCs w:val="18"/>
              </w:rPr>
              <w:t>$ '000</w:t>
            </w:r>
          </w:p>
        </w:tc>
      </w:tr>
      <w:tr w:rsidR="00B83890" w:rsidRPr="00A33C6E" w:rsidTr="006E6DC8">
        <w:trPr>
          <w:trHeight w:val="900"/>
        </w:trPr>
        <w:tc>
          <w:tcPr>
            <w:tcW w:w="3220" w:type="dxa"/>
            <w:tcBorders>
              <w:top w:val="single" w:sz="4" w:space="0" w:color="auto"/>
              <w:left w:val="nil"/>
              <w:bottom w:val="single" w:sz="4" w:space="0" w:color="auto"/>
              <w:right w:val="nil"/>
            </w:tcBorders>
            <w:noWrap/>
            <w:vAlign w:val="bottom"/>
          </w:tcPr>
          <w:p w:rsidR="00B83890" w:rsidRPr="00A33C6E" w:rsidRDefault="00B83890" w:rsidP="006E6DC8">
            <w:pPr>
              <w:rPr>
                <w:rFonts w:cs="Arial"/>
                <w:b/>
                <w:bCs/>
                <w:sz w:val="18"/>
                <w:szCs w:val="18"/>
              </w:rPr>
            </w:pPr>
            <w:r w:rsidRPr="00A33C6E">
              <w:rPr>
                <w:rFonts w:cs="Arial"/>
                <w:b/>
                <w:bCs/>
                <w:sz w:val="18"/>
                <w:szCs w:val="18"/>
              </w:rPr>
              <w:t>2013</w:t>
            </w:r>
          </w:p>
        </w:tc>
        <w:tc>
          <w:tcPr>
            <w:tcW w:w="1180" w:type="dxa"/>
            <w:tcBorders>
              <w:top w:val="single" w:sz="4" w:space="0" w:color="auto"/>
              <w:left w:val="nil"/>
              <w:bottom w:val="single" w:sz="4" w:space="0" w:color="auto"/>
              <w:right w:val="nil"/>
            </w:tcBorders>
            <w:shd w:val="clear" w:color="000000" w:fill="D8D8D8"/>
          </w:tcPr>
          <w:p w:rsidR="00B83890" w:rsidRPr="00A33C6E" w:rsidRDefault="00B83890" w:rsidP="006E6DC8">
            <w:pPr>
              <w:rPr>
                <w:rFonts w:cs="Arial"/>
                <w:sz w:val="18"/>
                <w:szCs w:val="18"/>
              </w:rPr>
            </w:pPr>
            <w:r w:rsidRPr="00A33C6E">
              <w:rPr>
                <w:rFonts w:cs="Arial"/>
                <w:sz w:val="18"/>
                <w:szCs w:val="18"/>
              </w:rPr>
              <w:t>Weighted average effective interest rate %</w:t>
            </w:r>
          </w:p>
        </w:tc>
        <w:tc>
          <w:tcPr>
            <w:tcW w:w="1020" w:type="dxa"/>
            <w:tcBorders>
              <w:top w:val="single" w:sz="4" w:space="0" w:color="auto"/>
              <w:left w:val="nil"/>
              <w:bottom w:val="single" w:sz="4" w:space="0" w:color="auto"/>
              <w:right w:val="nil"/>
            </w:tcBorders>
          </w:tcPr>
          <w:p w:rsidR="00B83890" w:rsidRPr="00A33C6E" w:rsidRDefault="00B83890" w:rsidP="006E6DC8">
            <w:pPr>
              <w:jc w:val="center"/>
              <w:rPr>
                <w:rFonts w:cs="Arial"/>
                <w:sz w:val="18"/>
                <w:szCs w:val="18"/>
              </w:rPr>
            </w:pPr>
            <w:r w:rsidRPr="00A33C6E">
              <w:rPr>
                <w:rFonts w:cs="Arial"/>
                <w:sz w:val="18"/>
                <w:szCs w:val="18"/>
              </w:rPr>
              <w:t>Carrying amount</w:t>
            </w:r>
          </w:p>
        </w:tc>
        <w:tc>
          <w:tcPr>
            <w:tcW w:w="3080" w:type="dxa"/>
            <w:gridSpan w:val="3"/>
            <w:tcBorders>
              <w:top w:val="single" w:sz="4" w:space="0" w:color="auto"/>
              <w:left w:val="nil"/>
              <w:bottom w:val="single" w:sz="4" w:space="0" w:color="auto"/>
              <w:right w:val="nil"/>
            </w:tcBorders>
          </w:tcPr>
          <w:p w:rsidR="00B83890" w:rsidRPr="00A33C6E" w:rsidRDefault="00B83890" w:rsidP="006E6DC8">
            <w:pPr>
              <w:jc w:val="center"/>
              <w:rPr>
                <w:rFonts w:cs="Arial"/>
                <w:sz w:val="18"/>
                <w:szCs w:val="18"/>
              </w:rPr>
            </w:pPr>
            <w:r w:rsidRPr="00A33C6E">
              <w:rPr>
                <w:rFonts w:cs="Arial"/>
                <w:sz w:val="18"/>
                <w:szCs w:val="18"/>
              </w:rPr>
              <w:t>Interest rate exposure</w:t>
            </w:r>
          </w:p>
        </w:tc>
      </w:tr>
      <w:tr w:rsidR="00B83890" w:rsidRPr="00A33C6E" w:rsidTr="006E6DC8">
        <w:trPr>
          <w:trHeight w:val="450"/>
        </w:trPr>
        <w:tc>
          <w:tcPr>
            <w:tcW w:w="3220" w:type="dxa"/>
            <w:tcBorders>
              <w:top w:val="single" w:sz="4" w:space="0" w:color="auto"/>
              <w:left w:val="nil"/>
              <w:bottom w:val="single" w:sz="4" w:space="0" w:color="auto"/>
              <w:right w:val="nil"/>
            </w:tcBorders>
            <w:noWrap/>
            <w:vAlign w:val="bottom"/>
          </w:tcPr>
          <w:p w:rsidR="00B83890" w:rsidRPr="00A33C6E" w:rsidRDefault="00B83890" w:rsidP="006E6DC8">
            <w:pPr>
              <w:rPr>
                <w:rFonts w:cs="Arial"/>
                <w:sz w:val="18"/>
                <w:szCs w:val="18"/>
              </w:rPr>
            </w:pPr>
            <w:r w:rsidRPr="00A33C6E">
              <w:rPr>
                <w:rFonts w:cs="Arial"/>
                <w:sz w:val="18"/>
                <w:szCs w:val="18"/>
              </w:rPr>
              <w:t> </w:t>
            </w:r>
          </w:p>
        </w:tc>
        <w:tc>
          <w:tcPr>
            <w:tcW w:w="1180" w:type="dxa"/>
            <w:tcBorders>
              <w:top w:val="single" w:sz="4" w:space="0" w:color="auto"/>
              <w:left w:val="nil"/>
              <w:bottom w:val="single" w:sz="4" w:space="0" w:color="auto"/>
              <w:right w:val="nil"/>
            </w:tcBorders>
            <w:shd w:val="clear" w:color="000000" w:fill="D8D8D8"/>
          </w:tcPr>
          <w:p w:rsidR="00B83890" w:rsidRPr="00A33C6E" w:rsidRDefault="00B83890" w:rsidP="006E6DC8">
            <w:pPr>
              <w:rPr>
                <w:rFonts w:cs="Arial"/>
                <w:sz w:val="18"/>
                <w:szCs w:val="18"/>
              </w:rPr>
            </w:pPr>
            <w:r w:rsidRPr="00A33C6E">
              <w:rPr>
                <w:rFonts w:cs="Arial"/>
                <w:sz w:val="18"/>
                <w:szCs w:val="18"/>
              </w:rPr>
              <w:t> </w:t>
            </w:r>
          </w:p>
        </w:tc>
        <w:tc>
          <w:tcPr>
            <w:tcW w:w="1020" w:type="dxa"/>
            <w:tcBorders>
              <w:top w:val="single" w:sz="4" w:space="0" w:color="auto"/>
              <w:left w:val="nil"/>
              <w:bottom w:val="single" w:sz="4" w:space="0" w:color="auto"/>
              <w:right w:val="nil"/>
            </w:tcBorders>
          </w:tcPr>
          <w:p w:rsidR="00B83890" w:rsidRPr="00A33C6E" w:rsidRDefault="00B83890" w:rsidP="006E6DC8">
            <w:pPr>
              <w:rPr>
                <w:rFonts w:cs="Arial"/>
                <w:sz w:val="18"/>
                <w:szCs w:val="18"/>
              </w:rPr>
            </w:pPr>
            <w:r w:rsidRPr="00A33C6E">
              <w:rPr>
                <w:rFonts w:cs="Arial"/>
                <w:sz w:val="18"/>
                <w:szCs w:val="18"/>
              </w:rPr>
              <w:t> </w:t>
            </w:r>
          </w:p>
        </w:tc>
        <w:tc>
          <w:tcPr>
            <w:tcW w:w="1000" w:type="dxa"/>
            <w:tcBorders>
              <w:top w:val="single" w:sz="4" w:space="0" w:color="auto"/>
              <w:left w:val="nil"/>
              <w:bottom w:val="single" w:sz="4" w:space="0" w:color="auto"/>
              <w:right w:val="nil"/>
            </w:tcBorders>
            <w:shd w:val="clear" w:color="000000" w:fill="D8D8D8"/>
            <w:vAlign w:val="bottom"/>
          </w:tcPr>
          <w:p w:rsidR="00B83890" w:rsidRPr="00A33C6E" w:rsidRDefault="00B83890" w:rsidP="006E6DC8">
            <w:pPr>
              <w:rPr>
                <w:rFonts w:cs="Arial"/>
                <w:sz w:val="18"/>
                <w:szCs w:val="18"/>
              </w:rPr>
            </w:pPr>
            <w:r w:rsidRPr="00A33C6E">
              <w:rPr>
                <w:rFonts w:cs="Arial"/>
                <w:sz w:val="18"/>
                <w:szCs w:val="18"/>
              </w:rPr>
              <w:t>Fixed interest rate</w:t>
            </w:r>
          </w:p>
        </w:tc>
        <w:tc>
          <w:tcPr>
            <w:tcW w:w="1000" w:type="dxa"/>
            <w:tcBorders>
              <w:top w:val="single" w:sz="4" w:space="0" w:color="auto"/>
              <w:left w:val="nil"/>
              <w:bottom w:val="single" w:sz="4" w:space="0" w:color="auto"/>
              <w:right w:val="nil"/>
            </w:tcBorders>
            <w:vAlign w:val="bottom"/>
          </w:tcPr>
          <w:p w:rsidR="00B83890" w:rsidRPr="00A33C6E" w:rsidRDefault="00B83890" w:rsidP="006E6DC8">
            <w:pPr>
              <w:rPr>
                <w:rFonts w:cs="Arial"/>
                <w:sz w:val="18"/>
                <w:szCs w:val="18"/>
              </w:rPr>
            </w:pPr>
            <w:r w:rsidRPr="00A33C6E">
              <w:rPr>
                <w:rFonts w:cs="Arial"/>
                <w:sz w:val="18"/>
                <w:szCs w:val="18"/>
              </w:rPr>
              <w:t>Variable interest rate</w:t>
            </w:r>
          </w:p>
        </w:tc>
        <w:tc>
          <w:tcPr>
            <w:tcW w:w="1080" w:type="dxa"/>
            <w:tcBorders>
              <w:top w:val="single" w:sz="4" w:space="0" w:color="auto"/>
              <w:left w:val="nil"/>
              <w:bottom w:val="single" w:sz="4" w:space="0" w:color="auto"/>
              <w:right w:val="nil"/>
            </w:tcBorders>
            <w:shd w:val="clear" w:color="000000" w:fill="D8D8D8"/>
            <w:vAlign w:val="bottom"/>
          </w:tcPr>
          <w:p w:rsidR="00B83890" w:rsidRPr="00A33C6E" w:rsidRDefault="00B83890" w:rsidP="006E6DC8">
            <w:pPr>
              <w:rPr>
                <w:rFonts w:cs="Arial"/>
                <w:sz w:val="18"/>
                <w:szCs w:val="18"/>
              </w:rPr>
            </w:pPr>
            <w:r w:rsidRPr="00A33C6E">
              <w:rPr>
                <w:rFonts w:cs="Arial"/>
                <w:sz w:val="18"/>
                <w:szCs w:val="18"/>
              </w:rPr>
              <w:t>Non-interest bearing</w:t>
            </w:r>
          </w:p>
        </w:tc>
      </w:tr>
      <w:tr w:rsidR="00B83890" w:rsidRPr="00A33C6E" w:rsidTr="006E6DC8">
        <w:trPr>
          <w:trHeight w:val="225"/>
        </w:trPr>
        <w:tc>
          <w:tcPr>
            <w:tcW w:w="3220" w:type="dxa"/>
            <w:tcBorders>
              <w:top w:val="nil"/>
              <w:left w:val="nil"/>
              <w:bottom w:val="nil"/>
              <w:right w:val="nil"/>
            </w:tcBorders>
            <w:noWrap/>
            <w:vAlign w:val="bottom"/>
          </w:tcPr>
          <w:p w:rsidR="00B83890" w:rsidRPr="00A33C6E" w:rsidRDefault="00B83890" w:rsidP="006E6DC8">
            <w:pPr>
              <w:rPr>
                <w:rFonts w:cs="Arial"/>
                <w:b/>
                <w:bCs/>
                <w:sz w:val="18"/>
                <w:szCs w:val="18"/>
              </w:rPr>
            </w:pPr>
            <w:r w:rsidRPr="00A33C6E">
              <w:rPr>
                <w:rFonts w:cs="Arial"/>
                <w:b/>
                <w:bCs/>
                <w:sz w:val="18"/>
                <w:szCs w:val="18"/>
              </w:rPr>
              <w:t>Financial Assets</w:t>
            </w:r>
          </w:p>
        </w:tc>
        <w:tc>
          <w:tcPr>
            <w:tcW w:w="1180" w:type="dxa"/>
            <w:tcBorders>
              <w:top w:val="nil"/>
              <w:left w:val="nil"/>
              <w:bottom w:val="nil"/>
              <w:right w:val="nil"/>
            </w:tcBorders>
            <w:shd w:val="clear" w:color="000000" w:fill="D8D8D8"/>
          </w:tcPr>
          <w:p w:rsidR="00B83890" w:rsidRPr="00A33C6E" w:rsidRDefault="00B83890" w:rsidP="006E6DC8">
            <w:pPr>
              <w:rPr>
                <w:rFonts w:cs="Arial"/>
                <w:i/>
                <w:iCs/>
                <w:sz w:val="18"/>
                <w:szCs w:val="18"/>
              </w:rPr>
            </w:pPr>
            <w:r w:rsidRPr="00A33C6E">
              <w:rPr>
                <w:rFonts w:cs="Arial"/>
                <w:i/>
                <w:iCs/>
                <w:sz w:val="18"/>
                <w:szCs w:val="18"/>
              </w:rPr>
              <w:t> </w:t>
            </w:r>
          </w:p>
        </w:tc>
        <w:tc>
          <w:tcPr>
            <w:tcW w:w="1020" w:type="dxa"/>
            <w:tcBorders>
              <w:top w:val="nil"/>
              <w:left w:val="nil"/>
              <w:bottom w:val="nil"/>
              <w:right w:val="nil"/>
            </w:tcBorders>
          </w:tcPr>
          <w:p w:rsidR="00B83890" w:rsidRPr="00A33C6E" w:rsidRDefault="00B83890" w:rsidP="006E6DC8">
            <w:pPr>
              <w:rPr>
                <w:rFonts w:cs="Arial"/>
                <w:i/>
                <w:iCs/>
                <w:sz w:val="18"/>
                <w:szCs w:val="18"/>
              </w:rPr>
            </w:pPr>
          </w:p>
        </w:tc>
        <w:tc>
          <w:tcPr>
            <w:tcW w:w="1000" w:type="dxa"/>
            <w:tcBorders>
              <w:top w:val="nil"/>
              <w:left w:val="nil"/>
              <w:bottom w:val="nil"/>
              <w:right w:val="nil"/>
            </w:tcBorders>
            <w:shd w:val="clear" w:color="000000" w:fill="D8D8D8"/>
            <w:vAlign w:val="bottom"/>
          </w:tcPr>
          <w:p w:rsidR="00B83890" w:rsidRPr="00A33C6E" w:rsidRDefault="00B83890" w:rsidP="006E6DC8">
            <w:pPr>
              <w:jc w:val="center"/>
              <w:rPr>
                <w:rFonts w:cs="Arial"/>
                <w:i/>
                <w:iCs/>
                <w:sz w:val="18"/>
                <w:szCs w:val="18"/>
              </w:rPr>
            </w:pPr>
            <w:r w:rsidRPr="00A33C6E">
              <w:rPr>
                <w:rFonts w:cs="Arial"/>
                <w:i/>
                <w:iCs/>
                <w:sz w:val="18"/>
                <w:szCs w:val="18"/>
              </w:rPr>
              <w:t> </w:t>
            </w:r>
          </w:p>
        </w:tc>
        <w:tc>
          <w:tcPr>
            <w:tcW w:w="1000" w:type="dxa"/>
            <w:tcBorders>
              <w:top w:val="nil"/>
              <w:left w:val="nil"/>
              <w:bottom w:val="nil"/>
              <w:right w:val="nil"/>
            </w:tcBorders>
            <w:vAlign w:val="bottom"/>
          </w:tcPr>
          <w:p w:rsidR="00B83890" w:rsidRPr="00A33C6E" w:rsidRDefault="00B83890" w:rsidP="006E6DC8">
            <w:pPr>
              <w:jc w:val="center"/>
              <w:rPr>
                <w:rFonts w:cs="Arial"/>
                <w:i/>
                <w:iCs/>
                <w:sz w:val="18"/>
                <w:szCs w:val="18"/>
              </w:rPr>
            </w:pPr>
          </w:p>
        </w:tc>
        <w:tc>
          <w:tcPr>
            <w:tcW w:w="1080" w:type="dxa"/>
            <w:tcBorders>
              <w:top w:val="nil"/>
              <w:left w:val="nil"/>
              <w:bottom w:val="nil"/>
              <w:right w:val="nil"/>
            </w:tcBorders>
            <w:shd w:val="clear" w:color="000000" w:fill="D8D8D8"/>
            <w:vAlign w:val="bottom"/>
          </w:tcPr>
          <w:p w:rsidR="00B83890" w:rsidRPr="00A33C6E" w:rsidRDefault="00B83890" w:rsidP="006E6DC8">
            <w:pPr>
              <w:rPr>
                <w:rFonts w:cs="Arial"/>
                <w:i/>
                <w:iCs/>
                <w:sz w:val="18"/>
                <w:szCs w:val="18"/>
              </w:rPr>
            </w:pPr>
            <w:r w:rsidRPr="00A33C6E">
              <w:rPr>
                <w:rFonts w:cs="Arial"/>
                <w:i/>
                <w:iCs/>
                <w:sz w:val="18"/>
                <w:szCs w:val="18"/>
              </w:rPr>
              <w:t> </w:t>
            </w:r>
          </w:p>
        </w:tc>
      </w:tr>
      <w:tr w:rsidR="00B83890" w:rsidRPr="00A33C6E" w:rsidTr="006E6DC8">
        <w:trPr>
          <w:trHeight w:val="225"/>
        </w:trPr>
        <w:tc>
          <w:tcPr>
            <w:tcW w:w="3220" w:type="dxa"/>
            <w:tcBorders>
              <w:top w:val="nil"/>
              <w:left w:val="nil"/>
              <w:bottom w:val="nil"/>
              <w:right w:val="nil"/>
            </w:tcBorders>
            <w:noWrap/>
            <w:vAlign w:val="bottom"/>
          </w:tcPr>
          <w:p w:rsidR="00B83890" w:rsidRPr="00A33C6E" w:rsidRDefault="00B83890" w:rsidP="006E6DC8">
            <w:pPr>
              <w:rPr>
                <w:rFonts w:cs="Arial"/>
                <w:sz w:val="18"/>
                <w:szCs w:val="18"/>
              </w:rPr>
            </w:pPr>
            <w:r w:rsidRPr="00A33C6E">
              <w:rPr>
                <w:rFonts w:cs="Arial"/>
                <w:sz w:val="18"/>
                <w:szCs w:val="18"/>
              </w:rPr>
              <w:t xml:space="preserve">   Cash and deposits</w:t>
            </w:r>
          </w:p>
        </w:tc>
        <w:tc>
          <w:tcPr>
            <w:tcW w:w="1180" w:type="dxa"/>
            <w:tcBorders>
              <w:top w:val="nil"/>
              <w:left w:val="nil"/>
              <w:bottom w:val="nil"/>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2.28%</w:t>
            </w:r>
          </w:p>
        </w:tc>
        <w:tc>
          <w:tcPr>
            <w:tcW w:w="1020" w:type="dxa"/>
            <w:tcBorders>
              <w:top w:val="nil"/>
              <w:left w:val="nil"/>
              <w:bottom w:val="nil"/>
              <w:right w:val="nil"/>
            </w:tcBorders>
            <w:noWrap/>
            <w:vAlign w:val="bottom"/>
          </w:tcPr>
          <w:p w:rsidR="00B83890" w:rsidRPr="00A33C6E" w:rsidRDefault="00B83890" w:rsidP="006E6DC8">
            <w:pPr>
              <w:jc w:val="right"/>
              <w:rPr>
                <w:rFonts w:cs="Arial"/>
                <w:sz w:val="18"/>
                <w:szCs w:val="18"/>
              </w:rPr>
            </w:pPr>
            <w:r w:rsidRPr="00A33C6E">
              <w:rPr>
                <w:rFonts w:cs="Arial"/>
                <w:sz w:val="18"/>
                <w:szCs w:val="18"/>
              </w:rPr>
              <w:t>1,104</w:t>
            </w:r>
          </w:p>
        </w:tc>
        <w:tc>
          <w:tcPr>
            <w:tcW w:w="1000" w:type="dxa"/>
            <w:tcBorders>
              <w:top w:val="nil"/>
              <w:left w:val="nil"/>
              <w:bottom w:val="nil"/>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 0</w:t>
            </w:r>
          </w:p>
        </w:tc>
        <w:tc>
          <w:tcPr>
            <w:tcW w:w="1000" w:type="dxa"/>
            <w:tcBorders>
              <w:top w:val="nil"/>
              <w:left w:val="nil"/>
              <w:bottom w:val="nil"/>
              <w:right w:val="nil"/>
            </w:tcBorders>
            <w:noWrap/>
            <w:vAlign w:val="bottom"/>
          </w:tcPr>
          <w:p w:rsidR="00B83890" w:rsidRPr="00A33C6E" w:rsidRDefault="00B83890" w:rsidP="006E6DC8">
            <w:pPr>
              <w:jc w:val="right"/>
              <w:rPr>
                <w:rFonts w:cs="Arial"/>
                <w:sz w:val="18"/>
                <w:szCs w:val="18"/>
              </w:rPr>
            </w:pPr>
            <w:r w:rsidRPr="00A33C6E">
              <w:rPr>
                <w:rFonts w:cs="Arial"/>
                <w:sz w:val="18"/>
                <w:szCs w:val="18"/>
              </w:rPr>
              <w:t>1,006</w:t>
            </w:r>
          </w:p>
        </w:tc>
        <w:tc>
          <w:tcPr>
            <w:tcW w:w="1080" w:type="dxa"/>
            <w:tcBorders>
              <w:top w:val="nil"/>
              <w:left w:val="nil"/>
              <w:bottom w:val="nil"/>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98</w:t>
            </w:r>
          </w:p>
        </w:tc>
      </w:tr>
      <w:tr w:rsidR="00B83890" w:rsidRPr="00A33C6E" w:rsidTr="006E6DC8">
        <w:trPr>
          <w:trHeight w:val="225"/>
        </w:trPr>
        <w:tc>
          <w:tcPr>
            <w:tcW w:w="3220" w:type="dxa"/>
            <w:tcBorders>
              <w:top w:val="nil"/>
              <w:left w:val="nil"/>
              <w:bottom w:val="nil"/>
              <w:right w:val="nil"/>
            </w:tcBorders>
            <w:noWrap/>
            <w:vAlign w:val="bottom"/>
          </w:tcPr>
          <w:p w:rsidR="00B83890" w:rsidRPr="00A33C6E" w:rsidRDefault="00B83890" w:rsidP="006E6DC8">
            <w:pPr>
              <w:rPr>
                <w:rFonts w:cs="Arial"/>
                <w:sz w:val="18"/>
                <w:szCs w:val="18"/>
              </w:rPr>
            </w:pPr>
            <w:r w:rsidRPr="00A33C6E">
              <w:rPr>
                <w:rFonts w:cs="Arial"/>
                <w:sz w:val="18"/>
                <w:szCs w:val="18"/>
              </w:rPr>
              <w:t xml:space="preserve">Receivables: </w:t>
            </w:r>
          </w:p>
        </w:tc>
        <w:tc>
          <w:tcPr>
            <w:tcW w:w="118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c>
          <w:tcPr>
            <w:tcW w:w="1020" w:type="dxa"/>
            <w:tcBorders>
              <w:top w:val="nil"/>
              <w:left w:val="nil"/>
              <w:bottom w:val="nil"/>
              <w:right w:val="nil"/>
            </w:tcBorders>
            <w:noWrap/>
            <w:vAlign w:val="bottom"/>
          </w:tcPr>
          <w:p w:rsidR="00B83890" w:rsidRPr="00A33C6E" w:rsidRDefault="00B83890" w:rsidP="006E6DC8">
            <w:pPr>
              <w:rPr>
                <w:rFonts w:cs="Arial"/>
                <w:sz w:val="18"/>
                <w:szCs w:val="18"/>
              </w:rPr>
            </w:pPr>
          </w:p>
        </w:tc>
        <w:tc>
          <w:tcPr>
            <w:tcW w:w="100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c>
          <w:tcPr>
            <w:tcW w:w="1000" w:type="dxa"/>
            <w:tcBorders>
              <w:top w:val="nil"/>
              <w:left w:val="nil"/>
              <w:bottom w:val="nil"/>
              <w:right w:val="nil"/>
            </w:tcBorders>
            <w:noWrap/>
            <w:vAlign w:val="bottom"/>
          </w:tcPr>
          <w:p w:rsidR="00B83890" w:rsidRPr="00A33C6E" w:rsidRDefault="00B83890" w:rsidP="006E6DC8">
            <w:pPr>
              <w:rPr>
                <w:rFonts w:cs="Arial"/>
                <w:sz w:val="18"/>
                <w:szCs w:val="18"/>
              </w:rPr>
            </w:pPr>
          </w:p>
        </w:tc>
        <w:tc>
          <w:tcPr>
            <w:tcW w:w="108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r>
      <w:tr w:rsidR="00B83890" w:rsidRPr="00A33C6E" w:rsidTr="006E6DC8">
        <w:trPr>
          <w:trHeight w:val="225"/>
        </w:trPr>
        <w:tc>
          <w:tcPr>
            <w:tcW w:w="3220" w:type="dxa"/>
            <w:tcBorders>
              <w:top w:val="nil"/>
              <w:left w:val="nil"/>
              <w:bottom w:val="nil"/>
              <w:right w:val="nil"/>
            </w:tcBorders>
            <w:noWrap/>
            <w:vAlign w:val="bottom"/>
          </w:tcPr>
          <w:p w:rsidR="00B83890" w:rsidRPr="00A33C6E" w:rsidRDefault="00B83890" w:rsidP="006E6DC8">
            <w:pPr>
              <w:ind w:firstLineChars="100" w:firstLine="180"/>
              <w:rPr>
                <w:rFonts w:cs="Arial"/>
                <w:sz w:val="18"/>
                <w:szCs w:val="18"/>
              </w:rPr>
            </w:pPr>
            <w:r w:rsidRPr="00A33C6E">
              <w:rPr>
                <w:rFonts w:cs="Arial"/>
                <w:sz w:val="18"/>
                <w:szCs w:val="18"/>
              </w:rPr>
              <w:t>Sale of goods and services</w:t>
            </w:r>
          </w:p>
        </w:tc>
        <w:tc>
          <w:tcPr>
            <w:tcW w:w="1180" w:type="dxa"/>
            <w:tcBorders>
              <w:top w:val="nil"/>
              <w:left w:val="nil"/>
              <w:bottom w:val="nil"/>
              <w:right w:val="nil"/>
            </w:tcBorders>
            <w:shd w:val="clear" w:color="000000" w:fill="D8D8D8"/>
            <w:noWrap/>
            <w:vAlign w:val="bottom"/>
          </w:tcPr>
          <w:p w:rsidR="00B83890" w:rsidRPr="00A33C6E" w:rsidRDefault="00B83890" w:rsidP="006E6DC8">
            <w:pPr>
              <w:jc w:val="right"/>
              <w:rPr>
                <w:rFonts w:cs="Arial"/>
                <w:sz w:val="18"/>
                <w:szCs w:val="18"/>
              </w:rPr>
            </w:pPr>
          </w:p>
        </w:tc>
        <w:tc>
          <w:tcPr>
            <w:tcW w:w="1020" w:type="dxa"/>
            <w:tcBorders>
              <w:top w:val="nil"/>
              <w:left w:val="nil"/>
              <w:bottom w:val="nil"/>
              <w:right w:val="nil"/>
            </w:tcBorders>
            <w:noWrap/>
            <w:vAlign w:val="bottom"/>
          </w:tcPr>
          <w:p w:rsidR="00B83890" w:rsidRPr="00A33C6E" w:rsidRDefault="00B83890" w:rsidP="006E6DC8">
            <w:pPr>
              <w:jc w:val="right"/>
              <w:rPr>
                <w:rFonts w:cs="Arial"/>
                <w:sz w:val="18"/>
                <w:szCs w:val="18"/>
              </w:rPr>
            </w:pPr>
            <w:r w:rsidRPr="00A33C6E">
              <w:rPr>
                <w:rFonts w:cs="Arial"/>
                <w:sz w:val="18"/>
                <w:szCs w:val="18"/>
              </w:rPr>
              <w:t>1,647</w:t>
            </w:r>
          </w:p>
        </w:tc>
        <w:tc>
          <w:tcPr>
            <w:tcW w:w="1000" w:type="dxa"/>
            <w:tcBorders>
              <w:top w:val="nil"/>
              <w:left w:val="nil"/>
              <w:bottom w:val="nil"/>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 0</w:t>
            </w:r>
          </w:p>
        </w:tc>
        <w:tc>
          <w:tcPr>
            <w:tcW w:w="1000" w:type="dxa"/>
            <w:tcBorders>
              <w:top w:val="nil"/>
              <w:left w:val="nil"/>
              <w:bottom w:val="nil"/>
              <w:right w:val="nil"/>
            </w:tcBorders>
            <w:noWrap/>
            <w:vAlign w:val="bottom"/>
          </w:tcPr>
          <w:p w:rsidR="00B83890" w:rsidRPr="00A33C6E" w:rsidRDefault="00B83890" w:rsidP="006E6DC8">
            <w:pPr>
              <w:jc w:val="right"/>
              <w:rPr>
                <w:rFonts w:cs="Arial"/>
                <w:sz w:val="18"/>
                <w:szCs w:val="18"/>
              </w:rPr>
            </w:pPr>
            <w:r w:rsidRPr="00A33C6E">
              <w:rPr>
                <w:rFonts w:cs="Arial"/>
                <w:sz w:val="18"/>
                <w:szCs w:val="18"/>
              </w:rPr>
              <w:t>0</w:t>
            </w:r>
          </w:p>
        </w:tc>
        <w:tc>
          <w:tcPr>
            <w:tcW w:w="1080" w:type="dxa"/>
            <w:tcBorders>
              <w:top w:val="nil"/>
              <w:left w:val="nil"/>
              <w:bottom w:val="nil"/>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1,647</w:t>
            </w:r>
          </w:p>
        </w:tc>
      </w:tr>
      <w:tr w:rsidR="00B83890" w:rsidRPr="00A33C6E" w:rsidTr="006E6DC8">
        <w:trPr>
          <w:trHeight w:val="225"/>
        </w:trPr>
        <w:tc>
          <w:tcPr>
            <w:tcW w:w="3220" w:type="dxa"/>
            <w:tcBorders>
              <w:top w:val="nil"/>
              <w:left w:val="nil"/>
              <w:bottom w:val="nil"/>
              <w:right w:val="nil"/>
            </w:tcBorders>
            <w:vAlign w:val="bottom"/>
          </w:tcPr>
          <w:p w:rsidR="00B83890" w:rsidRPr="00A33C6E" w:rsidRDefault="00B83890" w:rsidP="006E6DC8">
            <w:pPr>
              <w:rPr>
                <w:rFonts w:cs="Arial"/>
                <w:sz w:val="18"/>
                <w:szCs w:val="18"/>
              </w:rPr>
            </w:pPr>
            <w:r w:rsidRPr="00A33C6E">
              <w:rPr>
                <w:rFonts w:cs="Arial"/>
                <w:sz w:val="18"/>
                <w:szCs w:val="18"/>
              </w:rPr>
              <w:t>Investments and other financial assets:</w:t>
            </w:r>
          </w:p>
        </w:tc>
        <w:tc>
          <w:tcPr>
            <w:tcW w:w="118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c>
          <w:tcPr>
            <w:tcW w:w="1020" w:type="dxa"/>
            <w:tcBorders>
              <w:top w:val="nil"/>
              <w:left w:val="nil"/>
              <w:bottom w:val="nil"/>
              <w:right w:val="nil"/>
            </w:tcBorders>
            <w:noWrap/>
            <w:vAlign w:val="bottom"/>
          </w:tcPr>
          <w:p w:rsidR="00B83890" w:rsidRPr="00A33C6E" w:rsidRDefault="00B83890" w:rsidP="006E6DC8">
            <w:pPr>
              <w:rPr>
                <w:rFonts w:cs="Arial"/>
                <w:sz w:val="18"/>
                <w:szCs w:val="18"/>
              </w:rPr>
            </w:pPr>
          </w:p>
        </w:tc>
        <w:tc>
          <w:tcPr>
            <w:tcW w:w="100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c>
          <w:tcPr>
            <w:tcW w:w="1000" w:type="dxa"/>
            <w:tcBorders>
              <w:top w:val="nil"/>
              <w:left w:val="nil"/>
              <w:bottom w:val="nil"/>
              <w:right w:val="nil"/>
            </w:tcBorders>
            <w:noWrap/>
            <w:vAlign w:val="bottom"/>
          </w:tcPr>
          <w:p w:rsidR="00B83890" w:rsidRPr="00A33C6E" w:rsidRDefault="00B83890" w:rsidP="006E6DC8">
            <w:pPr>
              <w:rPr>
                <w:rFonts w:cs="Arial"/>
                <w:sz w:val="18"/>
                <w:szCs w:val="18"/>
              </w:rPr>
            </w:pPr>
          </w:p>
        </w:tc>
        <w:tc>
          <w:tcPr>
            <w:tcW w:w="108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r>
      <w:tr w:rsidR="00B83890" w:rsidRPr="00A33C6E" w:rsidTr="006E6DC8">
        <w:trPr>
          <w:trHeight w:val="225"/>
        </w:trPr>
        <w:tc>
          <w:tcPr>
            <w:tcW w:w="3220" w:type="dxa"/>
            <w:tcBorders>
              <w:top w:val="nil"/>
              <w:left w:val="nil"/>
              <w:bottom w:val="single" w:sz="4" w:space="0" w:color="auto"/>
              <w:right w:val="nil"/>
            </w:tcBorders>
            <w:noWrap/>
            <w:vAlign w:val="bottom"/>
          </w:tcPr>
          <w:p w:rsidR="00B83890" w:rsidRPr="00A33C6E" w:rsidRDefault="00B83890" w:rsidP="006E6DC8">
            <w:pPr>
              <w:rPr>
                <w:rFonts w:cs="Arial"/>
                <w:sz w:val="18"/>
                <w:szCs w:val="18"/>
              </w:rPr>
            </w:pPr>
            <w:r w:rsidRPr="00A33C6E">
              <w:rPr>
                <w:rFonts w:cs="Arial"/>
                <w:sz w:val="18"/>
                <w:szCs w:val="18"/>
              </w:rPr>
              <w:t xml:space="preserve">   Short-term cash investments</w:t>
            </w:r>
          </w:p>
        </w:tc>
        <w:tc>
          <w:tcPr>
            <w:tcW w:w="1180" w:type="dxa"/>
            <w:tcBorders>
              <w:top w:val="nil"/>
              <w:left w:val="nil"/>
              <w:bottom w:val="single" w:sz="4" w:space="0" w:color="auto"/>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3.82%</w:t>
            </w:r>
          </w:p>
        </w:tc>
        <w:tc>
          <w:tcPr>
            <w:tcW w:w="1020" w:type="dxa"/>
            <w:tcBorders>
              <w:top w:val="nil"/>
              <w:left w:val="nil"/>
              <w:bottom w:val="single" w:sz="4" w:space="0" w:color="auto"/>
              <w:right w:val="nil"/>
            </w:tcBorders>
            <w:noWrap/>
            <w:vAlign w:val="bottom"/>
          </w:tcPr>
          <w:p w:rsidR="00B83890" w:rsidRPr="00A33C6E" w:rsidRDefault="00B83890" w:rsidP="006E6DC8">
            <w:pPr>
              <w:jc w:val="right"/>
              <w:rPr>
                <w:rFonts w:cs="Arial"/>
                <w:sz w:val="18"/>
                <w:szCs w:val="18"/>
              </w:rPr>
            </w:pPr>
            <w:r w:rsidRPr="00A33C6E">
              <w:rPr>
                <w:rFonts w:cs="Arial"/>
                <w:sz w:val="18"/>
                <w:szCs w:val="18"/>
              </w:rPr>
              <w:t>23,294</w:t>
            </w:r>
          </w:p>
        </w:tc>
        <w:tc>
          <w:tcPr>
            <w:tcW w:w="1000" w:type="dxa"/>
            <w:tcBorders>
              <w:top w:val="nil"/>
              <w:left w:val="nil"/>
              <w:bottom w:val="nil"/>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22,000</w:t>
            </w:r>
          </w:p>
        </w:tc>
        <w:tc>
          <w:tcPr>
            <w:tcW w:w="1000" w:type="dxa"/>
            <w:tcBorders>
              <w:top w:val="nil"/>
              <w:left w:val="nil"/>
              <w:bottom w:val="nil"/>
              <w:right w:val="nil"/>
            </w:tcBorders>
            <w:noWrap/>
            <w:vAlign w:val="bottom"/>
          </w:tcPr>
          <w:p w:rsidR="00B83890" w:rsidRPr="00A33C6E" w:rsidRDefault="00B83890" w:rsidP="006E6DC8">
            <w:pPr>
              <w:jc w:val="right"/>
              <w:rPr>
                <w:rFonts w:cs="Arial"/>
                <w:sz w:val="18"/>
                <w:szCs w:val="18"/>
              </w:rPr>
            </w:pPr>
            <w:r w:rsidRPr="00A33C6E">
              <w:rPr>
                <w:rFonts w:cs="Arial"/>
                <w:sz w:val="18"/>
                <w:szCs w:val="18"/>
              </w:rPr>
              <w:t>1,294</w:t>
            </w:r>
          </w:p>
        </w:tc>
        <w:tc>
          <w:tcPr>
            <w:tcW w:w="1080" w:type="dxa"/>
            <w:tcBorders>
              <w:top w:val="nil"/>
              <w:left w:val="nil"/>
              <w:bottom w:val="single" w:sz="4" w:space="0" w:color="auto"/>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0</w:t>
            </w:r>
          </w:p>
        </w:tc>
      </w:tr>
      <w:tr w:rsidR="00B83890" w:rsidRPr="00A33C6E" w:rsidTr="006E6DC8">
        <w:trPr>
          <w:trHeight w:val="225"/>
        </w:trPr>
        <w:tc>
          <w:tcPr>
            <w:tcW w:w="3220" w:type="dxa"/>
            <w:tcBorders>
              <w:top w:val="nil"/>
              <w:left w:val="nil"/>
              <w:bottom w:val="single" w:sz="4" w:space="0" w:color="auto"/>
              <w:right w:val="nil"/>
            </w:tcBorders>
            <w:noWrap/>
            <w:vAlign w:val="bottom"/>
          </w:tcPr>
          <w:p w:rsidR="00B83890" w:rsidRPr="00A33C6E" w:rsidRDefault="00B83890" w:rsidP="006E6DC8">
            <w:pPr>
              <w:rPr>
                <w:rFonts w:cs="Arial"/>
                <w:b/>
                <w:bCs/>
                <w:sz w:val="18"/>
                <w:szCs w:val="18"/>
              </w:rPr>
            </w:pPr>
            <w:r w:rsidRPr="00A33C6E">
              <w:rPr>
                <w:rFonts w:cs="Arial"/>
                <w:b/>
                <w:bCs/>
                <w:sz w:val="18"/>
                <w:szCs w:val="18"/>
              </w:rPr>
              <w:t>Total financial assets</w:t>
            </w:r>
          </w:p>
        </w:tc>
        <w:tc>
          <w:tcPr>
            <w:tcW w:w="1180" w:type="dxa"/>
            <w:tcBorders>
              <w:top w:val="nil"/>
              <w:left w:val="nil"/>
              <w:bottom w:val="single" w:sz="4" w:space="0" w:color="auto"/>
              <w:right w:val="nil"/>
            </w:tcBorders>
            <w:shd w:val="clear" w:color="000000" w:fill="D8D8D8"/>
            <w:noWrap/>
            <w:vAlign w:val="bottom"/>
          </w:tcPr>
          <w:p w:rsidR="00B83890" w:rsidRPr="00A33C6E" w:rsidRDefault="00B83890" w:rsidP="006E6DC8">
            <w:pPr>
              <w:rPr>
                <w:rFonts w:cs="Arial"/>
                <w:b/>
                <w:bCs/>
                <w:sz w:val="18"/>
                <w:szCs w:val="18"/>
              </w:rPr>
            </w:pPr>
            <w:r w:rsidRPr="00A33C6E">
              <w:rPr>
                <w:rFonts w:cs="Arial"/>
                <w:b/>
                <w:bCs/>
                <w:sz w:val="18"/>
                <w:szCs w:val="18"/>
              </w:rPr>
              <w:t> </w:t>
            </w:r>
          </w:p>
        </w:tc>
        <w:tc>
          <w:tcPr>
            <w:tcW w:w="1020" w:type="dxa"/>
            <w:tcBorders>
              <w:top w:val="nil"/>
              <w:left w:val="nil"/>
              <w:bottom w:val="single" w:sz="4" w:space="0" w:color="auto"/>
              <w:right w:val="nil"/>
            </w:tcBorders>
            <w:noWrap/>
            <w:vAlign w:val="bottom"/>
          </w:tcPr>
          <w:p w:rsidR="00B83890" w:rsidRPr="00A33C6E" w:rsidRDefault="00B83890" w:rsidP="006E6DC8">
            <w:pPr>
              <w:jc w:val="right"/>
              <w:rPr>
                <w:rFonts w:cs="Arial"/>
                <w:b/>
                <w:bCs/>
                <w:sz w:val="18"/>
                <w:szCs w:val="18"/>
              </w:rPr>
            </w:pPr>
            <w:r w:rsidRPr="00A33C6E">
              <w:rPr>
                <w:rFonts w:cs="Arial"/>
                <w:b/>
                <w:bCs/>
                <w:sz w:val="18"/>
                <w:szCs w:val="18"/>
              </w:rPr>
              <w:t>26,045</w:t>
            </w:r>
          </w:p>
        </w:tc>
        <w:tc>
          <w:tcPr>
            <w:tcW w:w="1000" w:type="dxa"/>
            <w:tcBorders>
              <w:top w:val="single" w:sz="4" w:space="0" w:color="auto"/>
              <w:left w:val="nil"/>
              <w:bottom w:val="single" w:sz="4" w:space="0" w:color="auto"/>
              <w:right w:val="nil"/>
            </w:tcBorders>
            <w:shd w:val="clear" w:color="000000" w:fill="D8D8D8"/>
            <w:noWrap/>
            <w:vAlign w:val="bottom"/>
          </w:tcPr>
          <w:p w:rsidR="00B83890" w:rsidRPr="00A33C6E" w:rsidRDefault="00B83890" w:rsidP="006E6DC8">
            <w:pPr>
              <w:jc w:val="right"/>
              <w:rPr>
                <w:rFonts w:cs="Arial"/>
                <w:b/>
                <w:bCs/>
                <w:sz w:val="18"/>
                <w:szCs w:val="18"/>
              </w:rPr>
            </w:pPr>
            <w:r w:rsidRPr="00A33C6E">
              <w:rPr>
                <w:rFonts w:cs="Arial"/>
                <w:b/>
                <w:bCs/>
                <w:sz w:val="18"/>
                <w:szCs w:val="18"/>
              </w:rPr>
              <w:t>22,000</w:t>
            </w:r>
          </w:p>
        </w:tc>
        <w:tc>
          <w:tcPr>
            <w:tcW w:w="1000" w:type="dxa"/>
            <w:tcBorders>
              <w:top w:val="single" w:sz="4" w:space="0" w:color="auto"/>
              <w:left w:val="nil"/>
              <w:bottom w:val="single" w:sz="4" w:space="0" w:color="auto"/>
              <w:right w:val="nil"/>
            </w:tcBorders>
            <w:noWrap/>
            <w:vAlign w:val="bottom"/>
          </w:tcPr>
          <w:p w:rsidR="00B83890" w:rsidRPr="00A33C6E" w:rsidRDefault="00B83890" w:rsidP="006E6DC8">
            <w:pPr>
              <w:jc w:val="right"/>
              <w:rPr>
                <w:rFonts w:cs="Arial"/>
                <w:b/>
                <w:bCs/>
                <w:sz w:val="18"/>
                <w:szCs w:val="18"/>
              </w:rPr>
            </w:pPr>
            <w:r w:rsidRPr="00A33C6E">
              <w:rPr>
                <w:rFonts w:cs="Arial"/>
                <w:b/>
                <w:bCs/>
                <w:sz w:val="18"/>
                <w:szCs w:val="18"/>
              </w:rPr>
              <w:t>2,300</w:t>
            </w:r>
          </w:p>
        </w:tc>
        <w:tc>
          <w:tcPr>
            <w:tcW w:w="1080" w:type="dxa"/>
            <w:tcBorders>
              <w:top w:val="nil"/>
              <w:left w:val="nil"/>
              <w:bottom w:val="single" w:sz="4" w:space="0" w:color="auto"/>
              <w:right w:val="nil"/>
            </w:tcBorders>
            <w:shd w:val="clear" w:color="000000" w:fill="D8D8D8"/>
            <w:noWrap/>
            <w:vAlign w:val="bottom"/>
          </w:tcPr>
          <w:p w:rsidR="00B83890" w:rsidRPr="00A33C6E" w:rsidRDefault="00B83890" w:rsidP="006E6DC8">
            <w:pPr>
              <w:jc w:val="right"/>
              <w:rPr>
                <w:rFonts w:cs="Arial"/>
                <w:b/>
                <w:bCs/>
                <w:sz w:val="18"/>
                <w:szCs w:val="18"/>
              </w:rPr>
            </w:pPr>
            <w:r w:rsidRPr="00A33C6E">
              <w:rPr>
                <w:rFonts w:cs="Arial"/>
                <w:b/>
                <w:bCs/>
                <w:sz w:val="18"/>
                <w:szCs w:val="18"/>
              </w:rPr>
              <w:t>1,745</w:t>
            </w:r>
          </w:p>
        </w:tc>
      </w:tr>
      <w:tr w:rsidR="00B83890" w:rsidRPr="00A33C6E" w:rsidTr="006E6DC8">
        <w:trPr>
          <w:trHeight w:val="225"/>
        </w:trPr>
        <w:tc>
          <w:tcPr>
            <w:tcW w:w="3220" w:type="dxa"/>
            <w:tcBorders>
              <w:top w:val="nil"/>
              <w:left w:val="nil"/>
              <w:bottom w:val="nil"/>
              <w:right w:val="nil"/>
            </w:tcBorders>
            <w:noWrap/>
            <w:vAlign w:val="bottom"/>
          </w:tcPr>
          <w:p w:rsidR="00B83890" w:rsidRPr="00A33C6E" w:rsidRDefault="00B83890" w:rsidP="006E6DC8">
            <w:pPr>
              <w:rPr>
                <w:rFonts w:cs="Arial"/>
                <w:b/>
                <w:bCs/>
                <w:sz w:val="18"/>
                <w:szCs w:val="18"/>
              </w:rPr>
            </w:pPr>
            <w:r w:rsidRPr="00A33C6E">
              <w:rPr>
                <w:rFonts w:cs="Arial"/>
                <w:b/>
                <w:bCs/>
                <w:sz w:val="18"/>
                <w:szCs w:val="18"/>
              </w:rPr>
              <w:t>Financial Liabilities</w:t>
            </w:r>
          </w:p>
        </w:tc>
        <w:tc>
          <w:tcPr>
            <w:tcW w:w="1180" w:type="dxa"/>
            <w:tcBorders>
              <w:top w:val="nil"/>
              <w:left w:val="nil"/>
              <w:bottom w:val="nil"/>
              <w:right w:val="nil"/>
            </w:tcBorders>
            <w:shd w:val="clear" w:color="000000" w:fill="D8D8D8"/>
          </w:tcPr>
          <w:p w:rsidR="00B83890" w:rsidRPr="00A33C6E" w:rsidRDefault="00B83890" w:rsidP="006E6DC8">
            <w:pPr>
              <w:rPr>
                <w:rFonts w:cs="Arial"/>
                <w:i/>
                <w:iCs/>
                <w:sz w:val="18"/>
                <w:szCs w:val="18"/>
              </w:rPr>
            </w:pPr>
            <w:r w:rsidRPr="00A33C6E">
              <w:rPr>
                <w:rFonts w:cs="Arial"/>
                <w:i/>
                <w:iCs/>
                <w:sz w:val="18"/>
                <w:szCs w:val="18"/>
              </w:rPr>
              <w:t> </w:t>
            </w:r>
          </w:p>
        </w:tc>
        <w:tc>
          <w:tcPr>
            <w:tcW w:w="1020" w:type="dxa"/>
            <w:tcBorders>
              <w:top w:val="nil"/>
              <w:left w:val="nil"/>
              <w:bottom w:val="nil"/>
              <w:right w:val="nil"/>
            </w:tcBorders>
          </w:tcPr>
          <w:p w:rsidR="00B83890" w:rsidRPr="00A33C6E" w:rsidRDefault="00B83890" w:rsidP="006E6DC8">
            <w:pPr>
              <w:rPr>
                <w:rFonts w:cs="Arial"/>
                <w:i/>
                <w:iCs/>
                <w:sz w:val="18"/>
                <w:szCs w:val="18"/>
              </w:rPr>
            </w:pPr>
          </w:p>
        </w:tc>
        <w:tc>
          <w:tcPr>
            <w:tcW w:w="1000" w:type="dxa"/>
            <w:tcBorders>
              <w:top w:val="nil"/>
              <w:left w:val="nil"/>
              <w:bottom w:val="nil"/>
              <w:right w:val="nil"/>
            </w:tcBorders>
            <w:shd w:val="clear" w:color="000000" w:fill="D8D8D8"/>
            <w:vAlign w:val="bottom"/>
          </w:tcPr>
          <w:p w:rsidR="00B83890" w:rsidRPr="00A33C6E" w:rsidRDefault="00B83890" w:rsidP="006E6DC8">
            <w:pPr>
              <w:jc w:val="center"/>
              <w:rPr>
                <w:rFonts w:cs="Arial"/>
                <w:i/>
                <w:iCs/>
                <w:sz w:val="18"/>
                <w:szCs w:val="18"/>
              </w:rPr>
            </w:pPr>
            <w:r w:rsidRPr="00A33C6E">
              <w:rPr>
                <w:rFonts w:cs="Arial"/>
                <w:i/>
                <w:iCs/>
                <w:sz w:val="18"/>
                <w:szCs w:val="18"/>
              </w:rPr>
              <w:t> </w:t>
            </w:r>
          </w:p>
        </w:tc>
        <w:tc>
          <w:tcPr>
            <w:tcW w:w="1000" w:type="dxa"/>
            <w:tcBorders>
              <w:top w:val="nil"/>
              <w:left w:val="nil"/>
              <w:bottom w:val="nil"/>
              <w:right w:val="nil"/>
            </w:tcBorders>
            <w:vAlign w:val="bottom"/>
          </w:tcPr>
          <w:p w:rsidR="00B83890" w:rsidRPr="00A33C6E" w:rsidRDefault="00B83890" w:rsidP="006E6DC8">
            <w:pPr>
              <w:jc w:val="center"/>
              <w:rPr>
                <w:rFonts w:cs="Arial"/>
                <w:i/>
                <w:iCs/>
                <w:sz w:val="18"/>
                <w:szCs w:val="18"/>
              </w:rPr>
            </w:pPr>
          </w:p>
        </w:tc>
        <w:tc>
          <w:tcPr>
            <w:tcW w:w="1080" w:type="dxa"/>
            <w:tcBorders>
              <w:top w:val="nil"/>
              <w:left w:val="nil"/>
              <w:bottom w:val="nil"/>
              <w:right w:val="nil"/>
            </w:tcBorders>
            <w:shd w:val="clear" w:color="000000" w:fill="D8D8D8"/>
            <w:vAlign w:val="bottom"/>
          </w:tcPr>
          <w:p w:rsidR="00B83890" w:rsidRPr="00A33C6E" w:rsidRDefault="00B83890" w:rsidP="006E6DC8">
            <w:pPr>
              <w:rPr>
                <w:rFonts w:cs="Arial"/>
                <w:i/>
                <w:iCs/>
                <w:sz w:val="18"/>
                <w:szCs w:val="18"/>
              </w:rPr>
            </w:pPr>
            <w:r w:rsidRPr="00A33C6E">
              <w:rPr>
                <w:rFonts w:cs="Arial"/>
                <w:i/>
                <w:iCs/>
                <w:sz w:val="18"/>
                <w:szCs w:val="18"/>
              </w:rPr>
              <w:t> </w:t>
            </w:r>
          </w:p>
        </w:tc>
      </w:tr>
      <w:tr w:rsidR="00B83890" w:rsidRPr="00A33C6E" w:rsidTr="006E6DC8">
        <w:trPr>
          <w:trHeight w:val="225"/>
        </w:trPr>
        <w:tc>
          <w:tcPr>
            <w:tcW w:w="3220" w:type="dxa"/>
            <w:tcBorders>
              <w:top w:val="nil"/>
              <w:left w:val="nil"/>
              <w:bottom w:val="nil"/>
              <w:right w:val="nil"/>
            </w:tcBorders>
            <w:noWrap/>
            <w:vAlign w:val="bottom"/>
          </w:tcPr>
          <w:p w:rsidR="00B83890" w:rsidRPr="00A33C6E" w:rsidRDefault="00B83890" w:rsidP="006E6DC8">
            <w:pPr>
              <w:rPr>
                <w:rFonts w:cs="Arial"/>
                <w:sz w:val="18"/>
                <w:szCs w:val="18"/>
              </w:rPr>
            </w:pPr>
            <w:r w:rsidRPr="00A33C6E">
              <w:rPr>
                <w:rFonts w:cs="Arial"/>
                <w:sz w:val="18"/>
                <w:szCs w:val="18"/>
              </w:rPr>
              <w:t>Payables:</w:t>
            </w:r>
          </w:p>
        </w:tc>
        <w:tc>
          <w:tcPr>
            <w:tcW w:w="118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c>
          <w:tcPr>
            <w:tcW w:w="1020" w:type="dxa"/>
            <w:tcBorders>
              <w:top w:val="nil"/>
              <w:left w:val="nil"/>
              <w:bottom w:val="nil"/>
              <w:right w:val="nil"/>
            </w:tcBorders>
            <w:noWrap/>
            <w:vAlign w:val="bottom"/>
          </w:tcPr>
          <w:p w:rsidR="00B83890" w:rsidRPr="00A33C6E" w:rsidRDefault="00B83890" w:rsidP="006E6DC8">
            <w:pPr>
              <w:rPr>
                <w:rFonts w:cs="Arial"/>
                <w:sz w:val="18"/>
                <w:szCs w:val="18"/>
              </w:rPr>
            </w:pPr>
          </w:p>
        </w:tc>
        <w:tc>
          <w:tcPr>
            <w:tcW w:w="100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c>
          <w:tcPr>
            <w:tcW w:w="1000" w:type="dxa"/>
            <w:tcBorders>
              <w:top w:val="nil"/>
              <w:left w:val="nil"/>
              <w:bottom w:val="nil"/>
              <w:right w:val="nil"/>
            </w:tcBorders>
            <w:noWrap/>
            <w:vAlign w:val="bottom"/>
          </w:tcPr>
          <w:p w:rsidR="00B83890" w:rsidRPr="00A33C6E" w:rsidRDefault="00B83890" w:rsidP="006E6DC8">
            <w:pPr>
              <w:rPr>
                <w:rFonts w:cs="Arial"/>
                <w:sz w:val="18"/>
                <w:szCs w:val="18"/>
              </w:rPr>
            </w:pPr>
          </w:p>
        </w:tc>
        <w:tc>
          <w:tcPr>
            <w:tcW w:w="108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r>
      <w:tr w:rsidR="00B83890" w:rsidRPr="00A33C6E" w:rsidTr="006E6DC8">
        <w:trPr>
          <w:trHeight w:val="225"/>
        </w:trPr>
        <w:tc>
          <w:tcPr>
            <w:tcW w:w="3220" w:type="dxa"/>
            <w:tcBorders>
              <w:top w:val="nil"/>
              <w:left w:val="nil"/>
              <w:bottom w:val="nil"/>
              <w:right w:val="nil"/>
            </w:tcBorders>
            <w:noWrap/>
            <w:vAlign w:val="bottom"/>
          </w:tcPr>
          <w:p w:rsidR="00B83890" w:rsidRPr="00A33C6E" w:rsidRDefault="00B83890" w:rsidP="006E6DC8">
            <w:pPr>
              <w:rPr>
                <w:rFonts w:cs="Arial"/>
                <w:sz w:val="18"/>
                <w:szCs w:val="18"/>
              </w:rPr>
            </w:pPr>
            <w:r w:rsidRPr="00A33C6E">
              <w:rPr>
                <w:rFonts w:cs="Arial"/>
                <w:sz w:val="18"/>
                <w:szCs w:val="18"/>
              </w:rPr>
              <w:t xml:space="preserve">   Trade and other creditors</w:t>
            </w:r>
          </w:p>
        </w:tc>
        <w:tc>
          <w:tcPr>
            <w:tcW w:w="1180" w:type="dxa"/>
            <w:tcBorders>
              <w:top w:val="nil"/>
              <w:left w:val="nil"/>
              <w:bottom w:val="nil"/>
              <w:right w:val="nil"/>
            </w:tcBorders>
            <w:shd w:val="clear" w:color="000000" w:fill="D8D8D8"/>
            <w:noWrap/>
            <w:vAlign w:val="bottom"/>
          </w:tcPr>
          <w:p w:rsidR="00B83890" w:rsidRPr="00A33C6E" w:rsidRDefault="00B83890" w:rsidP="006E6DC8">
            <w:pPr>
              <w:jc w:val="right"/>
              <w:rPr>
                <w:rFonts w:cs="Arial"/>
                <w:sz w:val="18"/>
                <w:szCs w:val="18"/>
              </w:rPr>
            </w:pPr>
          </w:p>
        </w:tc>
        <w:tc>
          <w:tcPr>
            <w:tcW w:w="1020" w:type="dxa"/>
            <w:tcBorders>
              <w:top w:val="nil"/>
              <w:left w:val="nil"/>
              <w:bottom w:val="nil"/>
              <w:right w:val="nil"/>
            </w:tcBorders>
            <w:noWrap/>
            <w:vAlign w:val="bottom"/>
          </w:tcPr>
          <w:p w:rsidR="00B83890" w:rsidRPr="00A33C6E" w:rsidRDefault="00B83890" w:rsidP="006E6DC8">
            <w:pPr>
              <w:jc w:val="right"/>
              <w:rPr>
                <w:rFonts w:cs="Arial"/>
                <w:sz w:val="18"/>
                <w:szCs w:val="18"/>
              </w:rPr>
            </w:pPr>
            <w:r w:rsidRPr="00A33C6E">
              <w:rPr>
                <w:rFonts w:cs="Arial"/>
                <w:sz w:val="18"/>
                <w:szCs w:val="18"/>
              </w:rPr>
              <w:t>5,182</w:t>
            </w:r>
          </w:p>
        </w:tc>
        <w:tc>
          <w:tcPr>
            <w:tcW w:w="1000" w:type="dxa"/>
            <w:tcBorders>
              <w:top w:val="nil"/>
              <w:left w:val="nil"/>
              <w:bottom w:val="nil"/>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0</w:t>
            </w:r>
          </w:p>
        </w:tc>
        <w:tc>
          <w:tcPr>
            <w:tcW w:w="1000" w:type="dxa"/>
            <w:tcBorders>
              <w:top w:val="nil"/>
              <w:left w:val="nil"/>
              <w:bottom w:val="nil"/>
              <w:right w:val="nil"/>
            </w:tcBorders>
            <w:noWrap/>
            <w:vAlign w:val="bottom"/>
          </w:tcPr>
          <w:p w:rsidR="00B83890" w:rsidRPr="00A33C6E" w:rsidRDefault="00B83890" w:rsidP="006E6DC8">
            <w:pPr>
              <w:jc w:val="right"/>
              <w:rPr>
                <w:rFonts w:cs="Arial"/>
                <w:sz w:val="18"/>
                <w:szCs w:val="18"/>
              </w:rPr>
            </w:pPr>
            <w:r w:rsidRPr="00A33C6E">
              <w:rPr>
                <w:rFonts w:cs="Arial"/>
                <w:sz w:val="18"/>
                <w:szCs w:val="18"/>
              </w:rPr>
              <w:t>0</w:t>
            </w:r>
          </w:p>
        </w:tc>
        <w:tc>
          <w:tcPr>
            <w:tcW w:w="1080" w:type="dxa"/>
            <w:tcBorders>
              <w:top w:val="nil"/>
              <w:left w:val="nil"/>
              <w:bottom w:val="nil"/>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5,182</w:t>
            </w:r>
          </w:p>
        </w:tc>
      </w:tr>
      <w:tr w:rsidR="00B83890" w:rsidRPr="00A33C6E" w:rsidTr="006E6DC8">
        <w:trPr>
          <w:trHeight w:val="225"/>
        </w:trPr>
        <w:tc>
          <w:tcPr>
            <w:tcW w:w="3220" w:type="dxa"/>
            <w:tcBorders>
              <w:top w:val="nil"/>
              <w:left w:val="nil"/>
              <w:bottom w:val="nil"/>
              <w:right w:val="nil"/>
            </w:tcBorders>
            <w:noWrap/>
            <w:vAlign w:val="bottom"/>
          </w:tcPr>
          <w:p w:rsidR="00B83890" w:rsidRPr="00A33C6E" w:rsidRDefault="00B83890" w:rsidP="006E6DC8">
            <w:pPr>
              <w:rPr>
                <w:rFonts w:cs="Arial"/>
                <w:sz w:val="18"/>
                <w:szCs w:val="18"/>
              </w:rPr>
            </w:pPr>
            <w:r w:rsidRPr="00A33C6E">
              <w:rPr>
                <w:rFonts w:cs="Arial"/>
                <w:sz w:val="18"/>
                <w:szCs w:val="18"/>
              </w:rPr>
              <w:t>Interest bearing liabilities:</w:t>
            </w:r>
          </w:p>
        </w:tc>
        <w:tc>
          <w:tcPr>
            <w:tcW w:w="118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c>
          <w:tcPr>
            <w:tcW w:w="1020" w:type="dxa"/>
            <w:tcBorders>
              <w:top w:val="nil"/>
              <w:left w:val="nil"/>
              <w:bottom w:val="nil"/>
              <w:right w:val="nil"/>
            </w:tcBorders>
            <w:noWrap/>
            <w:vAlign w:val="bottom"/>
          </w:tcPr>
          <w:p w:rsidR="00B83890" w:rsidRPr="00A33C6E" w:rsidRDefault="00B83890" w:rsidP="006E6DC8">
            <w:pPr>
              <w:rPr>
                <w:rFonts w:cs="Arial"/>
                <w:sz w:val="18"/>
                <w:szCs w:val="18"/>
              </w:rPr>
            </w:pPr>
          </w:p>
        </w:tc>
        <w:tc>
          <w:tcPr>
            <w:tcW w:w="100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c>
          <w:tcPr>
            <w:tcW w:w="1000" w:type="dxa"/>
            <w:tcBorders>
              <w:top w:val="nil"/>
              <w:left w:val="nil"/>
              <w:bottom w:val="nil"/>
              <w:right w:val="nil"/>
            </w:tcBorders>
            <w:noWrap/>
            <w:vAlign w:val="bottom"/>
          </w:tcPr>
          <w:p w:rsidR="00B83890" w:rsidRPr="00A33C6E" w:rsidRDefault="00B83890" w:rsidP="006E6DC8">
            <w:pPr>
              <w:rPr>
                <w:rFonts w:cs="Arial"/>
                <w:sz w:val="18"/>
                <w:szCs w:val="18"/>
              </w:rPr>
            </w:pPr>
          </w:p>
        </w:tc>
        <w:tc>
          <w:tcPr>
            <w:tcW w:w="108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r>
      <w:tr w:rsidR="00B83890" w:rsidRPr="00A33C6E" w:rsidTr="006E6DC8">
        <w:trPr>
          <w:trHeight w:val="225"/>
        </w:trPr>
        <w:tc>
          <w:tcPr>
            <w:tcW w:w="3220" w:type="dxa"/>
            <w:tcBorders>
              <w:top w:val="nil"/>
              <w:left w:val="nil"/>
              <w:bottom w:val="single" w:sz="4" w:space="0" w:color="auto"/>
              <w:right w:val="nil"/>
            </w:tcBorders>
            <w:noWrap/>
            <w:vAlign w:val="bottom"/>
          </w:tcPr>
          <w:p w:rsidR="00B83890" w:rsidRPr="00A33C6E" w:rsidRDefault="00B83890" w:rsidP="006E6DC8">
            <w:pPr>
              <w:rPr>
                <w:rFonts w:cs="Arial"/>
                <w:sz w:val="18"/>
                <w:szCs w:val="18"/>
              </w:rPr>
            </w:pPr>
            <w:r w:rsidRPr="00A33C6E">
              <w:rPr>
                <w:rFonts w:cs="Arial"/>
                <w:sz w:val="18"/>
                <w:szCs w:val="18"/>
              </w:rPr>
              <w:t xml:space="preserve">   Lease liabilities</w:t>
            </w:r>
          </w:p>
        </w:tc>
        <w:tc>
          <w:tcPr>
            <w:tcW w:w="1180" w:type="dxa"/>
            <w:tcBorders>
              <w:top w:val="nil"/>
              <w:left w:val="nil"/>
              <w:bottom w:val="single" w:sz="4" w:space="0" w:color="auto"/>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6.61%</w:t>
            </w:r>
          </w:p>
        </w:tc>
        <w:tc>
          <w:tcPr>
            <w:tcW w:w="1020" w:type="dxa"/>
            <w:tcBorders>
              <w:top w:val="nil"/>
              <w:left w:val="nil"/>
              <w:bottom w:val="single" w:sz="4" w:space="0" w:color="auto"/>
              <w:right w:val="nil"/>
            </w:tcBorders>
            <w:noWrap/>
            <w:vAlign w:val="bottom"/>
          </w:tcPr>
          <w:p w:rsidR="00B83890" w:rsidRPr="00A33C6E" w:rsidRDefault="00B83890" w:rsidP="006E6DC8">
            <w:pPr>
              <w:jc w:val="right"/>
              <w:rPr>
                <w:rFonts w:cs="Arial"/>
                <w:sz w:val="18"/>
                <w:szCs w:val="18"/>
              </w:rPr>
            </w:pPr>
            <w:r w:rsidRPr="00A33C6E">
              <w:rPr>
                <w:rFonts w:cs="Arial"/>
                <w:sz w:val="18"/>
                <w:szCs w:val="18"/>
              </w:rPr>
              <w:t>289</w:t>
            </w:r>
          </w:p>
        </w:tc>
        <w:tc>
          <w:tcPr>
            <w:tcW w:w="1000" w:type="dxa"/>
            <w:tcBorders>
              <w:top w:val="nil"/>
              <w:left w:val="nil"/>
              <w:bottom w:val="single" w:sz="4" w:space="0" w:color="auto"/>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0</w:t>
            </w:r>
          </w:p>
        </w:tc>
        <w:tc>
          <w:tcPr>
            <w:tcW w:w="1000" w:type="dxa"/>
            <w:tcBorders>
              <w:top w:val="nil"/>
              <w:left w:val="nil"/>
              <w:bottom w:val="single" w:sz="4" w:space="0" w:color="auto"/>
              <w:right w:val="nil"/>
            </w:tcBorders>
            <w:noWrap/>
            <w:vAlign w:val="bottom"/>
          </w:tcPr>
          <w:p w:rsidR="00B83890" w:rsidRPr="00A33C6E" w:rsidRDefault="00B83890" w:rsidP="006E6DC8">
            <w:pPr>
              <w:jc w:val="right"/>
              <w:rPr>
                <w:rFonts w:cs="Arial"/>
                <w:sz w:val="18"/>
                <w:szCs w:val="18"/>
              </w:rPr>
            </w:pPr>
            <w:r w:rsidRPr="00A33C6E">
              <w:rPr>
                <w:rFonts w:cs="Arial"/>
                <w:sz w:val="18"/>
                <w:szCs w:val="18"/>
              </w:rPr>
              <w:t>289</w:t>
            </w:r>
          </w:p>
        </w:tc>
        <w:tc>
          <w:tcPr>
            <w:tcW w:w="1080" w:type="dxa"/>
            <w:tcBorders>
              <w:top w:val="nil"/>
              <w:left w:val="nil"/>
              <w:bottom w:val="single" w:sz="4" w:space="0" w:color="auto"/>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0</w:t>
            </w:r>
          </w:p>
        </w:tc>
      </w:tr>
      <w:tr w:rsidR="00B83890" w:rsidRPr="00A33C6E" w:rsidTr="009C1080">
        <w:trPr>
          <w:trHeight w:val="225"/>
        </w:trPr>
        <w:tc>
          <w:tcPr>
            <w:tcW w:w="3220" w:type="dxa"/>
            <w:tcBorders>
              <w:top w:val="nil"/>
              <w:left w:val="nil"/>
              <w:bottom w:val="single" w:sz="4" w:space="0" w:color="auto"/>
              <w:right w:val="nil"/>
            </w:tcBorders>
            <w:noWrap/>
            <w:vAlign w:val="bottom"/>
          </w:tcPr>
          <w:p w:rsidR="00B83890" w:rsidRPr="00A33C6E" w:rsidRDefault="00B83890" w:rsidP="006E6DC8">
            <w:pPr>
              <w:rPr>
                <w:rFonts w:cs="Arial"/>
                <w:b/>
                <w:bCs/>
                <w:sz w:val="18"/>
                <w:szCs w:val="18"/>
              </w:rPr>
            </w:pPr>
            <w:r w:rsidRPr="00A33C6E">
              <w:rPr>
                <w:rFonts w:cs="Arial"/>
                <w:b/>
                <w:bCs/>
                <w:sz w:val="18"/>
                <w:szCs w:val="18"/>
              </w:rPr>
              <w:t>Total financial liabilities</w:t>
            </w:r>
          </w:p>
        </w:tc>
        <w:tc>
          <w:tcPr>
            <w:tcW w:w="1180" w:type="dxa"/>
            <w:tcBorders>
              <w:top w:val="nil"/>
              <w:left w:val="nil"/>
              <w:bottom w:val="single" w:sz="4" w:space="0" w:color="auto"/>
              <w:right w:val="nil"/>
            </w:tcBorders>
            <w:shd w:val="clear" w:color="000000" w:fill="D8D8D8"/>
            <w:noWrap/>
            <w:vAlign w:val="bottom"/>
          </w:tcPr>
          <w:p w:rsidR="00B83890" w:rsidRPr="00A33C6E" w:rsidRDefault="00B83890" w:rsidP="006E6DC8">
            <w:pPr>
              <w:rPr>
                <w:rFonts w:cs="Arial"/>
                <w:b/>
                <w:bCs/>
                <w:sz w:val="18"/>
                <w:szCs w:val="18"/>
              </w:rPr>
            </w:pPr>
            <w:r w:rsidRPr="00A33C6E">
              <w:rPr>
                <w:rFonts w:cs="Arial"/>
                <w:b/>
                <w:bCs/>
                <w:sz w:val="18"/>
                <w:szCs w:val="18"/>
              </w:rPr>
              <w:t> </w:t>
            </w:r>
          </w:p>
        </w:tc>
        <w:tc>
          <w:tcPr>
            <w:tcW w:w="1020" w:type="dxa"/>
            <w:tcBorders>
              <w:top w:val="nil"/>
              <w:left w:val="nil"/>
              <w:bottom w:val="single" w:sz="4" w:space="0" w:color="auto"/>
              <w:right w:val="nil"/>
            </w:tcBorders>
            <w:noWrap/>
            <w:vAlign w:val="bottom"/>
          </w:tcPr>
          <w:p w:rsidR="00B83890" w:rsidRPr="00A33C6E" w:rsidRDefault="00B83890" w:rsidP="006E6DC8">
            <w:pPr>
              <w:jc w:val="right"/>
              <w:rPr>
                <w:rFonts w:cs="Arial"/>
                <w:b/>
                <w:bCs/>
                <w:sz w:val="18"/>
                <w:szCs w:val="18"/>
              </w:rPr>
            </w:pPr>
            <w:r w:rsidRPr="00A33C6E">
              <w:rPr>
                <w:rFonts w:cs="Arial"/>
                <w:b/>
                <w:bCs/>
                <w:sz w:val="18"/>
                <w:szCs w:val="18"/>
              </w:rPr>
              <w:t>5,471</w:t>
            </w:r>
          </w:p>
        </w:tc>
        <w:tc>
          <w:tcPr>
            <w:tcW w:w="1000" w:type="dxa"/>
            <w:tcBorders>
              <w:top w:val="nil"/>
              <w:left w:val="nil"/>
              <w:bottom w:val="single" w:sz="4" w:space="0" w:color="auto"/>
              <w:right w:val="nil"/>
            </w:tcBorders>
            <w:shd w:val="clear" w:color="000000" w:fill="D8D8D8"/>
            <w:noWrap/>
            <w:vAlign w:val="bottom"/>
          </w:tcPr>
          <w:p w:rsidR="00B83890" w:rsidRPr="00A33C6E" w:rsidRDefault="00B83890" w:rsidP="006E6DC8">
            <w:pPr>
              <w:jc w:val="right"/>
              <w:rPr>
                <w:rFonts w:cs="Arial"/>
                <w:b/>
                <w:bCs/>
                <w:sz w:val="18"/>
                <w:szCs w:val="18"/>
              </w:rPr>
            </w:pPr>
            <w:r w:rsidRPr="00A33C6E">
              <w:rPr>
                <w:rFonts w:cs="Arial"/>
                <w:b/>
                <w:bCs/>
                <w:sz w:val="18"/>
                <w:szCs w:val="18"/>
              </w:rPr>
              <w:t>0</w:t>
            </w:r>
          </w:p>
        </w:tc>
        <w:tc>
          <w:tcPr>
            <w:tcW w:w="1000" w:type="dxa"/>
            <w:tcBorders>
              <w:top w:val="nil"/>
              <w:left w:val="nil"/>
              <w:bottom w:val="single" w:sz="4" w:space="0" w:color="auto"/>
              <w:right w:val="nil"/>
            </w:tcBorders>
            <w:noWrap/>
            <w:vAlign w:val="bottom"/>
          </w:tcPr>
          <w:p w:rsidR="00B83890" w:rsidRPr="00A33C6E" w:rsidRDefault="00B83890" w:rsidP="006E6DC8">
            <w:pPr>
              <w:jc w:val="right"/>
              <w:rPr>
                <w:rFonts w:cs="Arial"/>
                <w:b/>
                <w:bCs/>
                <w:sz w:val="18"/>
                <w:szCs w:val="18"/>
              </w:rPr>
            </w:pPr>
            <w:r w:rsidRPr="00A33C6E">
              <w:rPr>
                <w:rFonts w:cs="Arial"/>
                <w:b/>
                <w:bCs/>
                <w:sz w:val="18"/>
                <w:szCs w:val="18"/>
              </w:rPr>
              <w:t>289</w:t>
            </w:r>
          </w:p>
        </w:tc>
        <w:tc>
          <w:tcPr>
            <w:tcW w:w="1080" w:type="dxa"/>
            <w:tcBorders>
              <w:top w:val="nil"/>
              <w:left w:val="nil"/>
              <w:bottom w:val="single" w:sz="4" w:space="0" w:color="auto"/>
              <w:right w:val="nil"/>
            </w:tcBorders>
            <w:shd w:val="clear" w:color="000000" w:fill="D8D8D8"/>
            <w:noWrap/>
            <w:vAlign w:val="bottom"/>
          </w:tcPr>
          <w:p w:rsidR="00B83890" w:rsidRPr="00A33C6E" w:rsidRDefault="00B83890" w:rsidP="006E6DC8">
            <w:pPr>
              <w:jc w:val="right"/>
              <w:rPr>
                <w:rFonts w:cs="Arial"/>
                <w:b/>
                <w:bCs/>
                <w:sz w:val="18"/>
                <w:szCs w:val="18"/>
              </w:rPr>
            </w:pPr>
            <w:r w:rsidRPr="00A33C6E">
              <w:rPr>
                <w:rFonts w:cs="Arial"/>
                <w:b/>
                <w:bCs/>
                <w:sz w:val="18"/>
                <w:szCs w:val="18"/>
              </w:rPr>
              <w:t>5,182</w:t>
            </w:r>
          </w:p>
        </w:tc>
      </w:tr>
      <w:tr w:rsidR="00B83890" w:rsidRPr="00A33C6E" w:rsidTr="009C1080">
        <w:trPr>
          <w:trHeight w:val="225"/>
        </w:trPr>
        <w:tc>
          <w:tcPr>
            <w:tcW w:w="3220" w:type="dxa"/>
            <w:tcBorders>
              <w:top w:val="single" w:sz="4" w:space="0" w:color="auto"/>
              <w:left w:val="nil"/>
              <w:bottom w:val="nil"/>
              <w:right w:val="nil"/>
            </w:tcBorders>
            <w:noWrap/>
            <w:vAlign w:val="bottom"/>
          </w:tcPr>
          <w:p w:rsidR="00B83890" w:rsidRPr="00A33C6E" w:rsidRDefault="00B83890" w:rsidP="006E6DC8">
            <w:pPr>
              <w:rPr>
                <w:rFonts w:cs="Arial"/>
                <w:sz w:val="18"/>
                <w:szCs w:val="18"/>
              </w:rPr>
            </w:pPr>
          </w:p>
        </w:tc>
        <w:tc>
          <w:tcPr>
            <w:tcW w:w="1180" w:type="dxa"/>
            <w:tcBorders>
              <w:top w:val="single" w:sz="4" w:space="0" w:color="auto"/>
              <w:left w:val="nil"/>
              <w:bottom w:val="nil"/>
              <w:right w:val="nil"/>
            </w:tcBorders>
            <w:noWrap/>
            <w:vAlign w:val="bottom"/>
          </w:tcPr>
          <w:p w:rsidR="00B83890" w:rsidRPr="00A33C6E" w:rsidRDefault="00B83890" w:rsidP="006E6DC8">
            <w:pPr>
              <w:rPr>
                <w:rFonts w:cs="Arial"/>
                <w:sz w:val="18"/>
                <w:szCs w:val="18"/>
              </w:rPr>
            </w:pPr>
          </w:p>
        </w:tc>
        <w:tc>
          <w:tcPr>
            <w:tcW w:w="1020" w:type="dxa"/>
            <w:tcBorders>
              <w:top w:val="single" w:sz="4" w:space="0" w:color="auto"/>
              <w:left w:val="nil"/>
              <w:bottom w:val="nil"/>
              <w:right w:val="nil"/>
            </w:tcBorders>
            <w:noWrap/>
            <w:vAlign w:val="bottom"/>
          </w:tcPr>
          <w:p w:rsidR="00B83890" w:rsidRPr="00A33C6E" w:rsidRDefault="00B83890" w:rsidP="006E6DC8">
            <w:pPr>
              <w:rPr>
                <w:rFonts w:cs="Arial"/>
                <w:sz w:val="18"/>
                <w:szCs w:val="18"/>
              </w:rPr>
            </w:pPr>
          </w:p>
        </w:tc>
        <w:tc>
          <w:tcPr>
            <w:tcW w:w="1000" w:type="dxa"/>
            <w:tcBorders>
              <w:top w:val="single" w:sz="4" w:space="0" w:color="auto"/>
              <w:left w:val="nil"/>
              <w:bottom w:val="nil"/>
              <w:right w:val="nil"/>
            </w:tcBorders>
            <w:noWrap/>
            <w:vAlign w:val="bottom"/>
          </w:tcPr>
          <w:p w:rsidR="00B83890" w:rsidRPr="00A33C6E" w:rsidRDefault="00B83890" w:rsidP="006E6DC8">
            <w:pPr>
              <w:rPr>
                <w:rFonts w:cs="Arial"/>
                <w:sz w:val="18"/>
                <w:szCs w:val="18"/>
              </w:rPr>
            </w:pPr>
          </w:p>
        </w:tc>
        <w:tc>
          <w:tcPr>
            <w:tcW w:w="1000" w:type="dxa"/>
            <w:tcBorders>
              <w:top w:val="single" w:sz="4" w:space="0" w:color="auto"/>
              <w:left w:val="nil"/>
              <w:bottom w:val="nil"/>
              <w:right w:val="nil"/>
            </w:tcBorders>
            <w:noWrap/>
            <w:vAlign w:val="bottom"/>
          </w:tcPr>
          <w:p w:rsidR="00B83890" w:rsidRPr="00A33C6E" w:rsidRDefault="00B83890" w:rsidP="006E6DC8">
            <w:pPr>
              <w:rPr>
                <w:rFonts w:cs="Arial"/>
                <w:sz w:val="18"/>
                <w:szCs w:val="18"/>
              </w:rPr>
            </w:pPr>
          </w:p>
        </w:tc>
        <w:tc>
          <w:tcPr>
            <w:tcW w:w="1080" w:type="dxa"/>
            <w:tcBorders>
              <w:top w:val="single" w:sz="4" w:space="0" w:color="auto"/>
              <w:left w:val="nil"/>
              <w:bottom w:val="nil"/>
              <w:right w:val="nil"/>
            </w:tcBorders>
            <w:noWrap/>
            <w:vAlign w:val="bottom"/>
          </w:tcPr>
          <w:p w:rsidR="00B83890" w:rsidRPr="00A33C6E" w:rsidRDefault="00B83890" w:rsidP="006E6DC8">
            <w:pPr>
              <w:rPr>
                <w:rFonts w:cs="Arial"/>
                <w:sz w:val="18"/>
                <w:szCs w:val="18"/>
              </w:rPr>
            </w:pPr>
          </w:p>
        </w:tc>
      </w:tr>
      <w:tr w:rsidR="00B83890" w:rsidRPr="00A33C6E" w:rsidTr="006E6DC8">
        <w:trPr>
          <w:trHeight w:val="900"/>
        </w:trPr>
        <w:tc>
          <w:tcPr>
            <w:tcW w:w="3220" w:type="dxa"/>
            <w:tcBorders>
              <w:top w:val="single" w:sz="4" w:space="0" w:color="auto"/>
              <w:left w:val="nil"/>
              <w:bottom w:val="single" w:sz="4" w:space="0" w:color="auto"/>
              <w:right w:val="nil"/>
            </w:tcBorders>
            <w:noWrap/>
            <w:vAlign w:val="bottom"/>
          </w:tcPr>
          <w:p w:rsidR="00B83890" w:rsidRPr="00A33C6E" w:rsidRDefault="00B83890" w:rsidP="006E6DC8">
            <w:pPr>
              <w:rPr>
                <w:rFonts w:cs="Arial"/>
                <w:b/>
                <w:bCs/>
                <w:sz w:val="18"/>
                <w:szCs w:val="18"/>
              </w:rPr>
            </w:pPr>
            <w:r w:rsidRPr="00A33C6E">
              <w:rPr>
                <w:rFonts w:cs="Arial"/>
                <w:b/>
                <w:bCs/>
                <w:sz w:val="18"/>
                <w:szCs w:val="18"/>
              </w:rPr>
              <w:t>2012</w:t>
            </w:r>
          </w:p>
        </w:tc>
        <w:tc>
          <w:tcPr>
            <w:tcW w:w="1180" w:type="dxa"/>
            <w:tcBorders>
              <w:top w:val="single" w:sz="4" w:space="0" w:color="auto"/>
              <w:left w:val="nil"/>
              <w:bottom w:val="single" w:sz="4" w:space="0" w:color="auto"/>
              <w:right w:val="nil"/>
            </w:tcBorders>
            <w:shd w:val="clear" w:color="000000" w:fill="D8D8D8"/>
          </w:tcPr>
          <w:p w:rsidR="00B83890" w:rsidRPr="00A33C6E" w:rsidRDefault="00B83890" w:rsidP="006E6DC8">
            <w:pPr>
              <w:rPr>
                <w:rFonts w:cs="Arial"/>
                <w:sz w:val="18"/>
                <w:szCs w:val="18"/>
              </w:rPr>
            </w:pPr>
            <w:r w:rsidRPr="00A33C6E">
              <w:rPr>
                <w:rFonts w:cs="Arial"/>
                <w:sz w:val="18"/>
                <w:szCs w:val="18"/>
              </w:rPr>
              <w:t>Weighted average effective interest rate %</w:t>
            </w:r>
          </w:p>
        </w:tc>
        <w:tc>
          <w:tcPr>
            <w:tcW w:w="1020" w:type="dxa"/>
            <w:tcBorders>
              <w:top w:val="single" w:sz="4" w:space="0" w:color="auto"/>
              <w:left w:val="nil"/>
              <w:bottom w:val="single" w:sz="4" w:space="0" w:color="auto"/>
              <w:right w:val="nil"/>
            </w:tcBorders>
          </w:tcPr>
          <w:p w:rsidR="00B83890" w:rsidRPr="00A33C6E" w:rsidRDefault="00B83890" w:rsidP="006E6DC8">
            <w:pPr>
              <w:jc w:val="center"/>
              <w:rPr>
                <w:rFonts w:cs="Arial"/>
                <w:sz w:val="18"/>
                <w:szCs w:val="18"/>
              </w:rPr>
            </w:pPr>
            <w:r w:rsidRPr="00A33C6E">
              <w:rPr>
                <w:rFonts w:cs="Arial"/>
                <w:sz w:val="18"/>
                <w:szCs w:val="18"/>
              </w:rPr>
              <w:t>Carrying amount</w:t>
            </w:r>
          </w:p>
        </w:tc>
        <w:tc>
          <w:tcPr>
            <w:tcW w:w="3080" w:type="dxa"/>
            <w:gridSpan w:val="3"/>
            <w:tcBorders>
              <w:top w:val="single" w:sz="4" w:space="0" w:color="auto"/>
              <w:left w:val="nil"/>
              <w:bottom w:val="single" w:sz="4" w:space="0" w:color="auto"/>
              <w:right w:val="nil"/>
            </w:tcBorders>
          </w:tcPr>
          <w:p w:rsidR="00B83890" w:rsidRPr="00A33C6E" w:rsidRDefault="00B83890" w:rsidP="006E6DC8">
            <w:pPr>
              <w:jc w:val="center"/>
              <w:rPr>
                <w:rFonts w:cs="Arial"/>
                <w:sz w:val="18"/>
                <w:szCs w:val="18"/>
              </w:rPr>
            </w:pPr>
            <w:r w:rsidRPr="00A33C6E">
              <w:rPr>
                <w:rFonts w:cs="Arial"/>
                <w:sz w:val="18"/>
                <w:szCs w:val="18"/>
              </w:rPr>
              <w:t>Interest rate exposure</w:t>
            </w:r>
          </w:p>
        </w:tc>
      </w:tr>
      <w:tr w:rsidR="00B83890" w:rsidRPr="00A33C6E" w:rsidTr="006E6DC8">
        <w:trPr>
          <w:trHeight w:val="450"/>
        </w:trPr>
        <w:tc>
          <w:tcPr>
            <w:tcW w:w="3220" w:type="dxa"/>
            <w:tcBorders>
              <w:top w:val="nil"/>
              <w:left w:val="nil"/>
              <w:bottom w:val="single" w:sz="4" w:space="0" w:color="auto"/>
              <w:right w:val="nil"/>
            </w:tcBorders>
            <w:noWrap/>
            <w:vAlign w:val="bottom"/>
          </w:tcPr>
          <w:p w:rsidR="00B83890" w:rsidRPr="00A33C6E" w:rsidRDefault="00B83890" w:rsidP="006E6DC8">
            <w:pPr>
              <w:rPr>
                <w:rFonts w:cs="Arial"/>
                <w:sz w:val="18"/>
                <w:szCs w:val="18"/>
              </w:rPr>
            </w:pPr>
            <w:r w:rsidRPr="00A33C6E">
              <w:rPr>
                <w:rFonts w:cs="Arial"/>
                <w:sz w:val="18"/>
                <w:szCs w:val="18"/>
              </w:rPr>
              <w:t> </w:t>
            </w:r>
          </w:p>
        </w:tc>
        <w:tc>
          <w:tcPr>
            <w:tcW w:w="1180" w:type="dxa"/>
            <w:tcBorders>
              <w:top w:val="nil"/>
              <w:left w:val="nil"/>
              <w:bottom w:val="single" w:sz="4" w:space="0" w:color="auto"/>
              <w:right w:val="nil"/>
            </w:tcBorders>
            <w:shd w:val="clear" w:color="000000" w:fill="D8D8D8"/>
          </w:tcPr>
          <w:p w:rsidR="00B83890" w:rsidRPr="00A33C6E" w:rsidRDefault="00B83890" w:rsidP="006E6DC8">
            <w:pPr>
              <w:rPr>
                <w:rFonts w:cs="Arial"/>
                <w:sz w:val="18"/>
                <w:szCs w:val="18"/>
              </w:rPr>
            </w:pPr>
            <w:r w:rsidRPr="00A33C6E">
              <w:rPr>
                <w:rFonts w:cs="Arial"/>
                <w:sz w:val="18"/>
                <w:szCs w:val="18"/>
              </w:rPr>
              <w:t> </w:t>
            </w:r>
          </w:p>
        </w:tc>
        <w:tc>
          <w:tcPr>
            <w:tcW w:w="1020" w:type="dxa"/>
            <w:tcBorders>
              <w:top w:val="nil"/>
              <w:left w:val="nil"/>
              <w:bottom w:val="single" w:sz="4" w:space="0" w:color="auto"/>
              <w:right w:val="nil"/>
            </w:tcBorders>
          </w:tcPr>
          <w:p w:rsidR="00B83890" w:rsidRPr="00A33C6E" w:rsidRDefault="00B83890" w:rsidP="006E6DC8">
            <w:pPr>
              <w:rPr>
                <w:rFonts w:cs="Arial"/>
                <w:sz w:val="18"/>
                <w:szCs w:val="18"/>
              </w:rPr>
            </w:pPr>
            <w:r w:rsidRPr="00A33C6E">
              <w:rPr>
                <w:rFonts w:cs="Arial"/>
                <w:sz w:val="18"/>
                <w:szCs w:val="18"/>
              </w:rPr>
              <w:t> </w:t>
            </w:r>
          </w:p>
        </w:tc>
        <w:tc>
          <w:tcPr>
            <w:tcW w:w="1000" w:type="dxa"/>
            <w:tcBorders>
              <w:top w:val="nil"/>
              <w:left w:val="nil"/>
              <w:bottom w:val="single" w:sz="4" w:space="0" w:color="auto"/>
              <w:right w:val="nil"/>
            </w:tcBorders>
            <w:shd w:val="clear" w:color="000000" w:fill="D8D8D8"/>
            <w:vAlign w:val="bottom"/>
          </w:tcPr>
          <w:p w:rsidR="00B83890" w:rsidRPr="00A33C6E" w:rsidRDefault="00B83890" w:rsidP="006E6DC8">
            <w:pPr>
              <w:rPr>
                <w:rFonts w:cs="Arial"/>
                <w:sz w:val="18"/>
                <w:szCs w:val="18"/>
              </w:rPr>
            </w:pPr>
            <w:r w:rsidRPr="00A33C6E">
              <w:rPr>
                <w:rFonts w:cs="Arial"/>
                <w:sz w:val="18"/>
                <w:szCs w:val="18"/>
              </w:rPr>
              <w:t>Fixed interest rate</w:t>
            </w:r>
          </w:p>
        </w:tc>
        <w:tc>
          <w:tcPr>
            <w:tcW w:w="1000" w:type="dxa"/>
            <w:tcBorders>
              <w:top w:val="nil"/>
              <w:left w:val="nil"/>
              <w:bottom w:val="single" w:sz="4" w:space="0" w:color="auto"/>
              <w:right w:val="nil"/>
            </w:tcBorders>
            <w:vAlign w:val="bottom"/>
          </w:tcPr>
          <w:p w:rsidR="00B83890" w:rsidRPr="00A33C6E" w:rsidRDefault="00B83890" w:rsidP="006E6DC8">
            <w:pPr>
              <w:rPr>
                <w:rFonts w:cs="Arial"/>
                <w:sz w:val="18"/>
                <w:szCs w:val="18"/>
              </w:rPr>
            </w:pPr>
            <w:r w:rsidRPr="00A33C6E">
              <w:rPr>
                <w:rFonts w:cs="Arial"/>
                <w:sz w:val="18"/>
                <w:szCs w:val="18"/>
              </w:rPr>
              <w:t>Variable interest rate</w:t>
            </w:r>
          </w:p>
        </w:tc>
        <w:tc>
          <w:tcPr>
            <w:tcW w:w="1080" w:type="dxa"/>
            <w:tcBorders>
              <w:top w:val="nil"/>
              <w:left w:val="nil"/>
              <w:bottom w:val="single" w:sz="4" w:space="0" w:color="auto"/>
              <w:right w:val="nil"/>
            </w:tcBorders>
            <w:shd w:val="clear" w:color="000000" w:fill="D8D8D8"/>
            <w:vAlign w:val="bottom"/>
          </w:tcPr>
          <w:p w:rsidR="00B83890" w:rsidRPr="00A33C6E" w:rsidRDefault="00B83890" w:rsidP="006E6DC8">
            <w:pPr>
              <w:rPr>
                <w:rFonts w:cs="Arial"/>
                <w:sz w:val="18"/>
                <w:szCs w:val="18"/>
              </w:rPr>
            </w:pPr>
            <w:r w:rsidRPr="00A33C6E">
              <w:rPr>
                <w:rFonts w:cs="Arial"/>
                <w:sz w:val="18"/>
                <w:szCs w:val="18"/>
              </w:rPr>
              <w:t>Non-interest bearing</w:t>
            </w:r>
          </w:p>
        </w:tc>
      </w:tr>
      <w:tr w:rsidR="00B83890" w:rsidRPr="00A33C6E" w:rsidTr="006E6DC8">
        <w:trPr>
          <w:trHeight w:val="225"/>
        </w:trPr>
        <w:tc>
          <w:tcPr>
            <w:tcW w:w="3220" w:type="dxa"/>
            <w:tcBorders>
              <w:top w:val="nil"/>
              <w:left w:val="nil"/>
              <w:bottom w:val="nil"/>
              <w:right w:val="nil"/>
            </w:tcBorders>
            <w:noWrap/>
            <w:vAlign w:val="bottom"/>
          </w:tcPr>
          <w:p w:rsidR="00B83890" w:rsidRPr="00A33C6E" w:rsidRDefault="00B83890" w:rsidP="006E6DC8">
            <w:pPr>
              <w:rPr>
                <w:rFonts w:cs="Arial"/>
                <w:b/>
                <w:bCs/>
                <w:sz w:val="18"/>
                <w:szCs w:val="18"/>
              </w:rPr>
            </w:pPr>
            <w:r w:rsidRPr="00A33C6E">
              <w:rPr>
                <w:rFonts w:cs="Arial"/>
                <w:b/>
                <w:bCs/>
                <w:sz w:val="18"/>
                <w:szCs w:val="18"/>
              </w:rPr>
              <w:t>Financial Assets</w:t>
            </w:r>
          </w:p>
        </w:tc>
        <w:tc>
          <w:tcPr>
            <w:tcW w:w="1180" w:type="dxa"/>
            <w:tcBorders>
              <w:top w:val="nil"/>
              <w:left w:val="nil"/>
              <w:bottom w:val="nil"/>
              <w:right w:val="nil"/>
            </w:tcBorders>
            <w:shd w:val="clear" w:color="000000" w:fill="D8D8D8"/>
          </w:tcPr>
          <w:p w:rsidR="00B83890" w:rsidRPr="00A33C6E" w:rsidRDefault="00B83890" w:rsidP="006E6DC8">
            <w:pPr>
              <w:rPr>
                <w:rFonts w:cs="Arial"/>
                <w:i/>
                <w:iCs/>
                <w:sz w:val="18"/>
                <w:szCs w:val="18"/>
              </w:rPr>
            </w:pPr>
            <w:r w:rsidRPr="00A33C6E">
              <w:rPr>
                <w:rFonts w:cs="Arial"/>
                <w:i/>
                <w:iCs/>
                <w:sz w:val="18"/>
                <w:szCs w:val="18"/>
              </w:rPr>
              <w:t> </w:t>
            </w:r>
          </w:p>
        </w:tc>
        <w:tc>
          <w:tcPr>
            <w:tcW w:w="1020" w:type="dxa"/>
            <w:tcBorders>
              <w:top w:val="nil"/>
              <w:left w:val="nil"/>
              <w:bottom w:val="nil"/>
              <w:right w:val="nil"/>
            </w:tcBorders>
          </w:tcPr>
          <w:p w:rsidR="00B83890" w:rsidRPr="00A33C6E" w:rsidRDefault="00B83890" w:rsidP="006E6DC8">
            <w:pPr>
              <w:rPr>
                <w:rFonts w:cs="Arial"/>
                <w:i/>
                <w:iCs/>
                <w:sz w:val="18"/>
                <w:szCs w:val="18"/>
              </w:rPr>
            </w:pPr>
          </w:p>
        </w:tc>
        <w:tc>
          <w:tcPr>
            <w:tcW w:w="1000" w:type="dxa"/>
            <w:tcBorders>
              <w:top w:val="nil"/>
              <w:left w:val="nil"/>
              <w:bottom w:val="nil"/>
              <w:right w:val="nil"/>
            </w:tcBorders>
            <w:shd w:val="clear" w:color="000000" w:fill="D8D8D8"/>
            <w:vAlign w:val="bottom"/>
          </w:tcPr>
          <w:p w:rsidR="00B83890" w:rsidRPr="00A33C6E" w:rsidRDefault="00B83890" w:rsidP="006E6DC8">
            <w:pPr>
              <w:jc w:val="center"/>
              <w:rPr>
                <w:rFonts w:cs="Arial"/>
                <w:i/>
                <w:iCs/>
                <w:sz w:val="18"/>
                <w:szCs w:val="18"/>
              </w:rPr>
            </w:pPr>
            <w:r w:rsidRPr="00A33C6E">
              <w:rPr>
                <w:rFonts w:cs="Arial"/>
                <w:i/>
                <w:iCs/>
                <w:sz w:val="18"/>
                <w:szCs w:val="18"/>
              </w:rPr>
              <w:t> </w:t>
            </w:r>
          </w:p>
        </w:tc>
        <w:tc>
          <w:tcPr>
            <w:tcW w:w="1000" w:type="dxa"/>
            <w:tcBorders>
              <w:top w:val="nil"/>
              <w:left w:val="nil"/>
              <w:bottom w:val="nil"/>
              <w:right w:val="nil"/>
            </w:tcBorders>
            <w:vAlign w:val="bottom"/>
          </w:tcPr>
          <w:p w:rsidR="00B83890" w:rsidRPr="00A33C6E" w:rsidRDefault="00B83890" w:rsidP="006E6DC8">
            <w:pPr>
              <w:jc w:val="center"/>
              <w:rPr>
                <w:rFonts w:cs="Arial"/>
                <w:i/>
                <w:iCs/>
                <w:sz w:val="18"/>
                <w:szCs w:val="18"/>
              </w:rPr>
            </w:pPr>
          </w:p>
        </w:tc>
        <w:tc>
          <w:tcPr>
            <w:tcW w:w="1080" w:type="dxa"/>
            <w:tcBorders>
              <w:top w:val="nil"/>
              <w:left w:val="nil"/>
              <w:bottom w:val="nil"/>
              <w:right w:val="nil"/>
            </w:tcBorders>
            <w:shd w:val="clear" w:color="000000" w:fill="D8D8D8"/>
            <w:vAlign w:val="bottom"/>
          </w:tcPr>
          <w:p w:rsidR="00B83890" w:rsidRPr="00A33C6E" w:rsidRDefault="00B83890" w:rsidP="006E6DC8">
            <w:pPr>
              <w:rPr>
                <w:rFonts w:cs="Arial"/>
                <w:i/>
                <w:iCs/>
                <w:sz w:val="18"/>
                <w:szCs w:val="18"/>
              </w:rPr>
            </w:pPr>
            <w:r w:rsidRPr="00A33C6E">
              <w:rPr>
                <w:rFonts w:cs="Arial"/>
                <w:i/>
                <w:iCs/>
                <w:sz w:val="18"/>
                <w:szCs w:val="18"/>
              </w:rPr>
              <w:t> </w:t>
            </w:r>
          </w:p>
        </w:tc>
      </w:tr>
      <w:tr w:rsidR="00B83890" w:rsidRPr="00A33C6E" w:rsidTr="006E6DC8">
        <w:trPr>
          <w:trHeight w:val="225"/>
        </w:trPr>
        <w:tc>
          <w:tcPr>
            <w:tcW w:w="3220" w:type="dxa"/>
            <w:tcBorders>
              <w:top w:val="nil"/>
              <w:left w:val="nil"/>
              <w:bottom w:val="nil"/>
              <w:right w:val="nil"/>
            </w:tcBorders>
            <w:noWrap/>
            <w:vAlign w:val="bottom"/>
          </w:tcPr>
          <w:p w:rsidR="00B83890" w:rsidRPr="00A33C6E" w:rsidRDefault="00B83890" w:rsidP="006E6DC8">
            <w:pPr>
              <w:rPr>
                <w:rFonts w:cs="Arial"/>
                <w:sz w:val="18"/>
                <w:szCs w:val="18"/>
              </w:rPr>
            </w:pPr>
            <w:r w:rsidRPr="00A33C6E">
              <w:rPr>
                <w:rFonts w:cs="Arial"/>
                <w:sz w:val="18"/>
                <w:szCs w:val="18"/>
              </w:rPr>
              <w:t xml:space="preserve">   Cash and deposits</w:t>
            </w:r>
          </w:p>
        </w:tc>
        <w:tc>
          <w:tcPr>
            <w:tcW w:w="1180" w:type="dxa"/>
            <w:tcBorders>
              <w:top w:val="nil"/>
              <w:left w:val="nil"/>
              <w:bottom w:val="nil"/>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3.91%</w:t>
            </w:r>
          </w:p>
        </w:tc>
        <w:tc>
          <w:tcPr>
            <w:tcW w:w="1020" w:type="dxa"/>
            <w:tcBorders>
              <w:top w:val="nil"/>
              <w:left w:val="nil"/>
              <w:bottom w:val="nil"/>
              <w:right w:val="nil"/>
            </w:tcBorders>
            <w:noWrap/>
            <w:vAlign w:val="bottom"/>
          </w:tcPr>
          <w:p w:rsidR="00B83890" w:rsidRPr="00A33C6E" w:rsidRDefault="00B83890" w:rsidP="006E6DC8">
            <w:pPr>
              <w:jc w:val="right"/>
              <w:rPr>
                <w:rFonts w:cs="Arial"/>
                <w:sz w:val="18"/>
                <w:szCs w:val="18"/>
              </w:rPr>
            </w:pPr>
            <w:r w:rsidRPr="00A33C6E">
              <w:rPr>
                <w:rFonts w:cs="Arial"/>
                <w:sz w:val="18"/>
                <w:szCs w:val="18"/>
              </w:rPr>
              <w:t>236</w:t>
            </w:r>
          </w:p>
        </w:tc>
        <w:tc>
          <w:tcPr>
            <w:tcW w:w="1000" w:type="dxa"/>
            <w:tcBorders>
              <w:top w:val="nil"/>
              <w:left w:val="nil"/>
              <w:bottom w:val="nil"/>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 0</w:t>
            </w:r>
          </w:p>
        </w:tc>
        <w:tc>
          <w:tcPr>
            <w:tcW w:w="1000" w:type="dxa"/>
            <w:tcBorders>
              <w:top w:val="nil"/>
              <w:left w:val="nil"/>
              <w:bottom w:val="nil"/>
              <w:right w:val="nil"/>
            </w:tcBorders>
            <w:noWrap/>
            <w:vAlign w:val="bottom"/>
          </w:tcPr>
          <w:p w:rsidR="00B83890" w:rsidRPr="00A33C6E" w:rsidRDefault="00B83890" w:rsidP="006E6DC8">
            <w:pPr>
              <w:jc w:val="right"/>
              <w:rPr>
                <w:rFonts w:cs="Arial"/>
                <w:sz w:val="18"/>
                <w:szCs w:val="18"/>
              </w:rPr>
            </w:pPr>
            <w:r w:rsidRPr="00A33C6E">
              <w:rPr>
                <w:rFonts w:cs="Arial"/>
                <w:sz w:val="18"/>
                <w:szCs w:val="18"/>
              </w:rPr>
              <w:t>155</w:t>
            </w:r>
          </w:p>
        </w:tc>
        <w:tc>
          <w:tcPr>
            <w:tcW w:w="1080" w:type="dxa"/>
            <w:tcBorders>
              <w:top w:val="nil"/>
              <w:left w:val="nil"/>
              <w:bottom w:val="nil"/>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81</w:t>
            </w:r>
          </w:p>
        </w:tc>
      </w:tr>
      <w:tr w:rsidR="00B83890" w:rsidRPr="00A33C6E" w:rsidTr="006E6DC8">
        <w:trPr>
          <w:trHeight w:val="225"/>
        </w:trPr>
        <w:tc>
          <w:tcPr>
            <w:tcW w:w="3220" w:type="dxa"/>
            <w:tcBorders>
              <w:top w:val="nil"/>
              <w:left w:val="nil"/>
              <w:bottom w:val="nil"/>
              <w:right w:val="nil"/>
            </w:tcBorders>
            <w:noWrap/>
            <w:vAlign w:val="bottom"/>
          </w:tcPr>
          <w:p w:rsidR="00B83890" w:rsidRPr="00A33C6E" w:rsidRDefault="00B83890" w:rsidP="006E6DC8">
            <w:pPr>
              <w:rPr>
                <w:rFonts w:cs="Arial"/>
                <w:sz w:val="18"/>
                <w:szCs w:val="18"/>
              </w:rPr>
            </w:pPr>
            <w:r w:rsidRPr="00A33C6E">
              <w:rPr>
                <w:rFonts w:cs="Arial"/>
                <w:sz w:val="18"/>
                <w:szCs w:val="18"/>
              </w:rPr>
              <w:t xml:space="preserve">Receivables: </w:t>
            </w:r>
          </w:p>
        </w:tc>
        <w:tc>
          <w:tcPr>
            <w:tcW w:w="118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c>
          <w:tcPr>
            <w:tcW w:w="1020" w:type="dxa"/>
            <w:tcBorders>
              <w:top w:val="nil"/>
              <w:left w:val="nil"/>
              <w:bottom w:val="nil"/>
              <w:right w:val="nil"/>
            </w:tcBorders>
            <w:noWrap/>
            <w:vAlign w:val="bottom"/>
          </w:tcPr>
          <w:p w:rsidR="00B83890" w:rsidRPr="00A33C6E" w:rsidRDefault="00B83890" w:rsidP="006E6DC8">
            <w:pPr>
              <w:rPr>
                <w:rFonts w:cs="Arial"/>
                <w:sz w:val="18"/>
                <w:szCs w:val="18"/>
              </w:rPr>
            </w:pPr>
          </w:p>
        </w:tc>
        <w:tc>
          <w:tcPr>
            <w:tcW w:w="100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c>
          <w:tcPr>
            <w:tcW w:w="1000" w:type="dxa"/>
            <w:tcBorders>
              <w:top w:val="nil"/>
              <w:left w:val="nil"/>
              <w:bottom w:val="nil"/>
              <w:right w:val="nil"/>
            </w:tcBorders>
            <w:noWrap/>
            <w:vAlign w:val="bottom"/>
          </w:tcPr>
          <w:p w:rsidR="00B83890" w:rsidRPr="00A33C6E" w:rsidRDefault="00B83890" w:rsidP="006E6DC8">
            <w:pPr>
              <w:rPr>
                <w:rFonts w:cs="Arial"/>
                <w:sz w:val="18"/>
                <w:szCs w:val="18"/>
              </w:rPr>
            </w:pPr>
          </w:p>
        </w:tc>
        <w:tc>
          <w:tcPr>
            <w:tcW w:w="108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r>
      <w:tr w:rsidR="00B83890" w:rsidRPr="00A33C6E" w:rsidTr="006E6DC8">
        <w:trPr>
          <w:trHeight w:val="225"/>
        </w:trPr>
        <w:tc>
          <w:tcPr>
            <w:tcW w:w="3220" w:type="dxa"/>
            <w:tcBorders>
              <w:top w:val="nil"/>
              <w:left w:val="nil"/>
              <w:bottom w:val="nil"/>
              <w:right w:val="nil"/>
            </w:tcBorders>
            <w:noWrap/>
            <w:vAlign w:val="bottom"/>
          </w:tcPr>
          <w:p w:rsidR="00B83890" w:rsidRPr="00A33C6E" w:rsidRDefault="00B83890" w:rsidP="006E6DC8">
            <w:pPr>
              <w:ind w:firstLineChars="100" w:firstLine="180"/>
              <w:rPr>
                <w:rFonts w:cs="Arial"/>
                <w:sz w:val="18"/>
                <w:szCs w:val="18"/>
              </w:rPr>
            </w:pPr>
            <w:r w:rsidRPr="00A33C6E">
              <w:rPr>
                <w:rFonts w:cs="Arial"/>
                <w:sz w:val="18"/>
                <w:szCs w:val="18"/>
              </w:rPr>
              <w:t>Sale of goods and services</w:t>
            </w:r>
          </w:p>
        </w:tc>
        <w:tc>
          <w:tcPr>
            <w:tcW w:w="1180" w:type="dxa"/>
            <w:tcBorders>
              <w:top w:val="nil"/>
              <w:left w:val="nil"/>
              <w:bottom w:val="nil"/>
              <w:right w:val="nil"/>
            </w:tcBorders>
            <w:shd w:val="clear" w:color="000000" w:fill="D8D8D8"/>
            <w:noWrap/>
            <w:vAlign w:val="bottom"/>
          </w:tcPr>
          <w:p w:rsidR="00B83890" w:rsidRPr="00A33C6E" w:rsidRDefault="00B83890" w:rsidP="006E6DC8">
            <w:pPr>
              <w:jc w:val="right"/>
              <w:rPr>
                <w:rFonts w:cs="Arial"/>
                <w:sz w:val="18"/>
                <w:szCs w:val="18"/>
              </w:rPr>
            </w:pPr>
          </w:p>
        </w:tc>
        <w:tc>
          <w:tcPr>
            <w:tcW w:w="1020" w:type="dxa"/>
            <w:tcBorders>
              <w:top w:val="nil"/>
              <w:left w:val="nil"/>
              <w:bottom w:val="nil"/>
              <w:right w:val="nil"/>
            </w:tcBorders>
            <w:noWrap/>
            <w:vAlign w:val="bottom"/>
          </w:tcPr>
          <w:p w:rsidR="00B83890" w:rsidRPr="00A33C6E" w:rsidRDefault="00B83890" w:rsidP="006E6DC8">
            <w:pPr>
              <w:jc w:val="right"/>
              <w:rPr>
                <w:rFonts w:cs="Arial"/>
                <w:sz w:val="18"/>
                <w:szCs w:val="18"/>
              </w:rPr>
            </w:pPr>
            <w:r w:rsidRPr="00A33C6E">
              <w:rPr>
                <w:rFonts w:cs="Arial"/>
                <w:sz w:val="18"/>
                <w:szCs w:val="18"/>
              </w:rPr>
              <w:t>2,607</w:t>
            </w:r>
          </w:p>
        </w:tc>
        <w:tc>
          <w:tcPr>
            <w:tcW w:w="1000" w:type="dxa"/>
            <w:tcBorders>
              <w:top w:val="nil"/>
              <w:left w:val="nil"/>
              <w:bottom w:val="nil"/>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 0</w:t>
            </w:r>
          </w:p>
        </w:tc>
        <w:tc>
          <w:tcPr>
            <w:tcW w:w="1000" w:type="dxa"/>
            <w:tcBorders>
              <w:top w:val="nil"/>
              <w:left w:val="nil"/>
              <w:bottom w:val="nil"/>
              <w:right w:val="nil"/>
            </w:tcBorders>
            <w:noWrap/>
            <w:vAlign w:val="bottom"/>
          </w:tcPr>
          <w:p w:rsidR="00B83890" w:rsidRPr="00A33C6E" w:rsidRDefault="00B83890" w:rsidP="006E6DC8">
            <w:pPr>
              <w:jc w:val="right"/>
              <w:rPr>
                <w:rFonts w:cs="Arial"/>
                <w:sz w:val="18"/>
                <w:szCs w:val="18"/>
              </w:rPr>
            </w:pPr>
            <w:r w:rsidRPr="00A33C6E">
              <w:rPr>
                <w:rFonts w:cs="Arial"/>
                <w:sz w:val="18"/>
                <w:szCs w:val="18"/>
              </w:rPr>
              <w:t>0</w:t>
            </w:r>
          </w:p>
        </w:tc>
        <w:tc>
          <w:tcPr>
            <w:tcW w:w="1080" w:type="dxa"/>
            <w:tcBorders>
              <w:top w:val="nil"/>
              <w:left w:val="nil"/>
              <w:bottom w:val="nil"/>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2,607</w:t>
            </w:r>
          </w:p>
        </w:tc>
      </w:tr>
      <w:tr w:rsidR="00B83890" w:rsidRPr="00A33C6E" w:rsidTr="006E6DC8">
        <w:trPr>
          <w:trHeight w:val="225"/>
        </w:trPr>
        <w:tc>
          <w:tcPr>
            <w:tcW w:w="3220" w:type="dxa"/>
            <w:tcBorders>
              <w:top w:val="nil"/>
              <w:left w:val="nil"/>
              <w:bottom w:val="nil"/>
              <w:right w:val="nil"/>
            </w:tcBorders>
            <w:vAlign w:val="bottom"/>
          </w:tcPr>
          <w:p w:rsidR="00B83890" w:rsidRPr="00A33C6E" w:rsidRDefault="00B83890" w:rsidP="006E6DC8">
            <w:pPr>
              <w:rPr>
                <w:rFonts w:cs="Arial"/>
                <w:sz w:val="18"/>
                <w:szCs w:val="18"/>
              </w:rPr>
            </w:pPr>
            <w:r w:rsidRPr="00A33C6E">
              <w:rPr>
                <w:rFonts w:cs="Arial"/>
                <w:sz w:val="18"/>
                <w:szCs w:val="18"/>
              </w:rPr>
              <w:t>Investments and other financial assets:</w:t>
            </w:r>
          </w:p>
        </w:tc>
        <w:tc>
          <w:tcPr>
            <w:tcW w:w="118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c>
          <w:tcPr>
            <w:tcW w:w="1020" w:type="dxa"/>
            <w:tcBorders>
              <w:top w:val="nil"/>
              <w:left w:val="nil"/>
              <w:bottom w:val="nil"/>
              <w:right w:val="nil"/>
            </w:tcBorders>
            <w:noWrap/>
            <w:vAlign w:val="bottom"/>
          </w:tcPr>
          <w:p w:rsidR="00B83890" w:rsidRPr="00A33C6E" w:rsidRDefault="00B83890" w:rsidP="006E6DC8">
            <w:pPr>
              <w:rPr>
                <w:rFonts w:cs="Arial"/>
                <w:sz w:val="18"/>
                <w:szCs w:val="18"/>
              </w:rPr>
            </w:pPr>
          </w:p>
        </w:tc>
        <w:tc>
          <w:tcPr>
            <w:tcW w:w="100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c>
          <w:tcPr>
            <w:tcW w:w="1000" w:type="dxa"/>
            <w:tcBorders>
              <w:top w:val="nil"/>
              <w:left w:val="nil"/>
              <w:bottom w:val="nil"/>
              <w:right w:val="nil"/>
            </w:tcBorders>
            <w:noWrap/>
            <w:vAlign w:val="bottom"/>
          </w:tcPr>
          <w:p w:rsidR="00B83890" w:rsidRPr="00A33C6E" w:rsidRDefault="00B83890" w:rsidP="006E6DC8">
            <w:pPr>
              <w:rPr>
                <w:rFonts w:cs="Arial"/>
                <w:sz w:val="18"/>
                <w:szCs w:val="18"/>
              </w:rPr>
            </w:pPr>
          </w:p>
        </w:tc>
        <w:tc>
          <w:tcPr>
            <w:tcW w:w="108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r>
      <w:tr w:rsidR="00B83890" w:rsidRPr="00A33C6E" w:rsidTr="006E6DC8">
        <w:trPr>
          <w:trHeight w:val="225"/>
        </w:trPr>
        <w:tc>
          <w:tcPr>
            <w:tcW w:w="3220" w:type="dxa"/>
            <w:tcBorders>
              <w:top w:val="nil"/>
              <w:left w:val="nil"/>
              <w:bottom w:val="single" w:sz="4" w:space="0" w:color="auto"/>
              <w:right w:val="nil"/>
            </w:tcBorders>
            <w:noWrap/>
            <w:vAlign w:val="bottom"/>
          </w:tcPr>
          <w:p w:rsidR="00B83890" w:rsidRPr="00A33C6E" w:rsidRDefault="00B83890" w:rsidP="006E6DC8">
            <w:pPr>
              <w:rPr>
                <w:rFonts w:cs="Arial"/>
                <w:sz w:val="18"/>
                <w:szCs w:val="18"/>
              </w:rPr>
            </w:pPr>
            <w:r w:rsidRPr="00A33C6E">
              <w:rPr>
                <w:rFonts w:cs="Arial"/>
                <w:sz w:val="18"/>
                <w:szCs w:val="18"/>
              </w:rPr>
              <w:t xml:space="preserve">   Short-term cash investments</w:t>
            </w:r>
          </w:p>
        </w:tc>
        <w:tc>
          <w:tcPr>
            <w:tcW w:w="1180" w:type="dxa"/>
            <w:tcBorders>
              <w:top w:val="nil"/>
              <w:left w:val="nil"/>
              <w:bottom w:val="single" w:sz="4" w:space="0" w:color="auto"/>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4.40%</w:t>
            </w:r>
          </w:p>
        </w:tc>
        <w:tc>
          <w:tcPr>
            <w:tcW w:w="1020" w:type="dxa"/>
            <w:tcBorders>
              <w:top w:val="nil"/>
              <w:left w:val="nil"/>
              <w:bottom w:val="single" w:sz="4" w:space="0" w:color="auto"/>
              <w:right w:val="nil"/>
            </w:tcBorders>
            <w:noWrap/>
            <w:vAlign w:val="bottom"/>
          </w:tcPr>
          <w:p w:rsidR="00B83890" w:rsidRPr="00A33C6E" w:rsidRDefault="00B83890" w:rsidP="006E6DC8">
            <w:pPr>
              <w:jc w:val="right"/>
              <w:rPr>
                <w:rFonts w:cs="Arial"/>
                <w:sz w:val="18"/>
                <w:szCs w:val="18"/>
              </w:rPr>
            </w:pPr>
            <w:r w:rsidRPr="00A33C6E">
              <w:rPr>
                <w:rFonts w:cs="Arial"/>
                <w:sz w:val="18"/>
                <w:szCs w:val="18"/>
              </w:rPr>
              <w:t>25,569</w:t>
            </w:r>
          </w:p>
        </w:tc>
        <w:tc>
          <w:tcPr>
            <w:tcW w:w="1000" w:type="dxa"/>
            <w:tcBorders>
              <w:top w:val="nil"/>
              <w:left w:val="nil"/>
              <w:bottom w:val="single" w:sz="4" w:space="0" w:color="auto"/>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21,000</w:t>
            </w:r>
          </w:p>
        </w:tc>
        <w:tc>
          <w:tcPr>
            <w:tcW w:w="1000" w:type="dxa"/>
            <w:tcBorders>
              <w:top w:val="nil"/>
              <w:left w:val="nil"/>
              <w:bottom w:val="single" w:sz="4" w:space="0" w:color="auto"/>
              <w:right w:val="nil"/>
            </w:tcBorders>
            <w:noWrap/>
            <w:vAlign w:val="bottom"/>
          </w:tcPr>
          <w:p w:rsidR="00B83890" w:rsidRPr="00A33C6E" w:rsidRDefault="00B83890" w:rsidP="006E6DC8">
            <w:pPr>
              <w:jc w:val="right"/>
              <w:rPr>
                <w:rFonts w:cs="Arial"/>
                <w:sz w:val="18"/>
                <w:szCs w:val="18"/>
              </w:rPr>
            </w:pPr>
            <w:r w:rsidRPr="00A33C6E">
              <w:rPr>
                <w:rFonts w:cs="Arial"/>
                <w:sz w:val="18"/>
                <w:szCs w:val="18"/>
              </w:rPr>
              <w:t>4,569</w:t>
            </w:r>
          </w:p>
        </w:tc>
        <w:tc>
          <w:tcPr>
            <w:tcW w:w="1080" w:type="dxa"/>
            <w:tcBorders>
              <w:top w:val="nil"/>
              <w:left w:val="nil"/>
              <w:bottom w:val="single" w:sz="4" w:space="0" w:color="auto"/>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0</w:t>
            </w:r>
          </w:p>
        </w:tc>
      </w:tr>
      <w:tr w:rsidR="00B83890" w:rsidRPr="00A33C6E" w:rsidTr="006E6DC8">
        <w:trPr>
          <w:trHeight w:val="225"/>
        </w:trPr>
        <w:tc>
          <w:tcPr>
            <w:tcW w:w="3220" w:type="dxa"/>
            <w:tcBorders>
              <w:top w:val="nil"/>
              <w:left w:val="nil"/>
              <w:bottom w:val="single" w:sz="4" w:space="0" w:color="auto"/>
              <w:right w:val="nil"/>
            </w:tcBorders>
            <w:noWrap/>
            <w:vAlign w:val="bottom"/>
          </w:tcPr>
          <w:p w:rsidR="00B83890" w:rsidRPr="00A33C6E" w:rsidRDefault="00B83890" w:rsidP="006E6DC8">
            <w:pPr>
              <w:rPr>
                <w:rFonts w:cs="Arial"/>
                <w:b/>
                <w:bCs/>
                <w:sz w:val="18"/>
                <w:szCs w:val="18"/>
              </w:rPr>
            </w:pPr>
            <w:r w:rsidRPr="00A33C6E">
              <w:rPr>
                <w:rFonts w:cs="Arial"/>
                <w:b/>
                <w:bCs/>
                <w:sz w:val="18"/>
                <w:szCs w:val="18"/>
              </w:rPr>
              <w:t>Total financial assets</w:t>
            </w:r>
          </w:p>
        </w:tc>
        <w:tc>
          <w:tcPr>
            <w:tcW w:w="1180" w:type="dxa"/>
            <w:tcBorders>
              <w:top w:val="nil"/>
              <w:left w:val="nil"/>
              <w:bottom w:val="single" w:sz="4" w:space="0" w:color="auto"/>
              <w:right w:val="nil"/>
            </w:tcBorders>
            <w:shd w:val="clear" w:color="000000" w:fill="D8D8D8"/>
            <w:noWrap/>
            <w:vAlign w:val="bottom"/>
          </w:tcPr>
          <w:p w:rsidR="00B83890" w:rsidRPr="00A33C6E" w:rsidRDefault="00B83890" w:rsidP="006E6DC8">
            <w:pPr>
              <w:rPr>
                <w:rFonts w:cs="Arial"/>
                <w:b/>
                <w:bCs/>
                <w:sz w:val="18"/>
                <w:szCs w:val="18"/>
              </w:rPr>
            </w:pPr>
            <w:r w:rsidRPr="00A33C6E">
              <w:rPr>
                <w:rFonts w:cs="Arial"/>
                <w:b/>
                <w:bCs/>
                <w:sz w:val="18"/>
                <w:szCs w:val="18"/>
              </w:rPr>
              <w:t> </w:t>
            </w:r>
          </w:p>
        </w:tc>
        <w:tc>
          <w:tcPr>
            <w:tcW w:w="1020" w:type="dxa"/>
            <w:tcBorders>
              <w:top w:val="nil"/>
              <w:left w:val="nil"/>
              <w:bottom w:val="single" w:sz="4" w:space="0" w:color="auto"/>
              <w:right w:val="nil"/>
            </w:tcBorders>
            <w:noWrap/>
            <w:vAlign w:val="bottom"/>
          </w:tcPr>
          <w:p w:rsidR="00B83890" w:rsidRPr="00A33C6E" w:rsidRDefault="00B83890" w:rsidP="006E6DC8">
            <w:pPr>
              <w:jc w:val="right"/>
              <w:rPr>
                <w:rFonts w:cs="Arial"/>
                <w:b/>
                <w:bCs/>
                <w:sz w:val="18"/>
                <w:szCs w:val="18"/>
              </w:rPr>
            </w:pPr>
            <w:r w:rsidRPr="00A33C6E">
              <w:rPr>
                <w:rFonts w:cs="Arial"/>
                <w:b/>
                <w:bCs/>
                <w:sz w:val="18"/>
                <w:szCs w:val="18"/>
              </w:rPr>
              <w:t>28,412</w:t>
            </w:r>
          </w:p>
        </w:tc>
        <w:tc>
          <w:tcPr>
            <w:tcW w:w="1000" w:type="dxa"/>
            <w:tcBorders>
              <w:top w:val="nil"/>
              <w:left w:val="nil"/>
              <w:bottom w:val="single" w:sz="4" w:space="0" w:color="auto"/>
              <w:right w:val="nil"/>
            </w:tcBorders>
            <w:shd w:val="clear" w:color="000000" w:fill="D8D8D8"/>
            <w:noWrap/>
            <w:vAlign w:val="bottom"/>
          </w:tcPr>
          <w:p w:rsidR="00B83890" w:rsidRPr="00A33C6E" w:rsidRDefault="00B83890" w:rsidP="006E6DC8">
            <w:pPr>
              <w:jc w:val="right"/>
              <w:rPr>
                <w:rFonts w:cs="Arial"/>
                <w:b/>
                <w:bCs/>
                <w:sz w:val="18"/>
                <w:szCs w:val="18"/>
              </w:rPr>
            </w:pPr>
            <w:r w:rsidRPr="00A33C6E">
              <w:rPr>
                <w:rFonts w:cs="Arial"/>
                <w:b/>
                <w:bCs/>
                <w:sz w:val="18"/>
                <w:szCs w:val="18"/>
              </w:rPr>
              <w:t>21,000</w:t>
            </w:r>
          </w:p>
        </w:tc>
        <w:tc>
          <w:tcPr>
            <w:tcW w:w="1000" w:type="dxa"/>
            <w:tcBorders>
              <w:top w:val="nil"/>
              <w:left w:val="nil"/>
              <w:bottom w:val="single" w:sz="4" w:space="0" w:color="auto"/>
              <w:right w:val="nil"/>
            </w:tcBorders>
            <w:noWrap/>
            <w:vAlign w:val="bottom"/>
          </w:tcPr>
          <w:p w:rsidR="00B83890" w:rsidRPr="00A33C6E" w:rsidRDefault="00B83890" w:rsidP="006E6DC8">
            <w:pPr>
              <w:jc w:val="right"/>
              <w:rPr>
                <w:rFonts w:cs="Arial"/>
                <w:b/>
                <w:bCs/>
                <w:sz w:val="18"/>
                <w:szCs w:val="18"/>
              </w:rPr>
            </w:pPr>
            <w:r w:rsidRPr="00A33C6E">
              <w:rPr>
                <w:rFonts w:cs="Arial"/>
                <w:b/>
                <w:bCs/>
                <w:sz w:val="18"/>
                <w:szCs w:val="18"/>
              </w:rPr>
              <w:t>4,724</w:t>
            </w:r>
          </w:p>
        </w:tc>
        <w:tc>
          <w:tcPr>
            <w:tcW w:w="1080" w:type="dxa"/>
            <w:tcBorders>
              <w:top w:val="nil"/>
              <w:left w:val="nil"/>
              <w:bottom w:val="single" w:sz="4" w:space="0" w:color="auto"/>
              <w:right w:val="nil"/>
            </w:tcBorders>
            <w:shd w:val="clear" w:color="000000" w:fill="D8D8D8"/>
            <w:noWrap/>
            <w:vAlign w:val="bottom"/>
          </w:tcPr>
          <w:p w:rsidR="00B83890" w:rsidRPr="00A33C6E" w:rsidRDefault="00B83890" w:rsidP="006E6DC8">
            <w:pPr>
              <w:jc w:val="right"/>
              <w:rPr>
                <w:rFonts w:cs="Arial"/>
                <w:b/>
                <w:bCs/>
                <w:sz w:val="18"/>
                <w:szCs w:val="18"/>
              </w:rPr>
            </w:pPr>
            <w:r w:rsidRPr="00A33C6E">
              <w:rPr>
                <w:rFonts w:cs="Arial"/>
                <w:b/>
                <w:bCs/>
                <w:sz w:val="18"/>
                <w:szCs w:val="18"/>
              </w:rPr>
              <w:t>2,688</w:t>
            </w:r>
          </w:p>
        </w:tc>
      </w:tr>
      <w:tr w:rsidR="00B83890" w:rsidRPr="00A33C6E" w:rsidTr="006E6DC8">
        <w:trPr>
          <w:trHeight w:val="225"/>
        </w:trPr>
        <w:tc>
          <w:tcPr>
            <w:tcW w:w="3220" w:type="dxa"/>
            <w:tcBorders>
              <w:top w:val="nil"/>
              <w:left w:val="nil"/>
              <w:bottom w:val="nil"/>
              <w:right w:val="nil"/>
            </w:tcBorders>
            <w:noWrap/>
            <w:vAlign w:val="bottom"/>
          </w:tcPr>
          <w:p w:rsidR="00B83890" w:rsidRPr="00A33C6E" w:rsidRDefault="00B83890" w:rsidP="006E6DC8">
            <w:pPr>
              <w:rPr>
                <w:rFonts w:cs="Arial"/>
                <w:b/>
                <w:bCs/>
                <w:sz w:val="18"/>
                <w:szCs w:val="18"/>
              </w:rPr>
            </w:pPr>
            <w:r w:rsidRPr="00A33C6E">
              <w:rPr>
                <w:rFonts w:cs="Arial"/>
                <w:b/>
                <w:bCs/>
                <w:sz w:val="18"/>
                <w:szCs w:val="18"/>
              </w:rPr>
              <w:t>Financial Liabilities</w:t>
            </w:r>
          </w:p>
        </w:tc>
        <w:tc>
          <w:tcPr>
            <w:tcW w:w="1180" w:type="dxa"/>
            <w:tcBorders>
              <w:top w:val="nil"/>
              <w:left w:val="nil"/>
              <w:bottom w:val="nil"/>
              <w:right w:val="nil"/>
            </w:tcBorders>
            <w:shd w:val="clear" w:color="000000" w:fill="D8D8D8"/>
          </w:tcPr>
          <w:p w:rsidR="00B83890" w:rsidRPr="00A33C6E" w:rsidRDefault="00B83890" w:rsidP="006E6DC8">
            <w:pPr>
              <w:rPr>
                <w:rFonts w:cs="Arial"/>
                <w:i/>
                <w:iCs/>
                <w:sz w:val="18"/>
                <w:szCs w:val="18"/>
              </w:rPr>
            </w:pPr>
            <w:r w:rsidRPr="00A33C6E">
              <w:rPr>
                <w:rFonts w:cs="Arial"/>
                <w:i/>
                <w:iCs/>
                <w:sz w:val="18"/>
                <w:szCs w:val="18"/>
              </w:rPr>
              <w:t> </w:t>
            </w:r>
          </w:p>
        </w:tc>
        <w:tc>
          <w:tcPr>
            <w:tcW w:w="1020" w:type="dxa"/>
            <w:tcBorders>
              <w:top w:val="nil"/>
              <w:left w:val="nil"/>
              <w:bottom w:val="nil"/>
              <w:right w:val="nil"/>
            </w:tcBorders>
          </w:tcPr>
          <w:p w:rsidR="00B83890" w:rsidRPr="00A33C6E" w:rsidRDefault="00B83890" w:rsidP="006E6DC8">
            <w:pPr>
              <w:rPr>
                <w:rFonts w:cs="Arial"/>
                <w:i/>
                <w:iCs/>
                <w:sz w:val="18"/>
                <w:szCs w:val="18"/>
              </w:rPr>
            </w:pPr>
          </w:p>
        </w:tc>
        <w:tc>
          <w:tcPr>
            <w:tcW w:w="1000" w:type="dxa"/>
            <w:tcBorders>
              <w:top w:val="nil"/>
              <w:left w:val="nil"/>
              <w:bottom w:val="nil"/>
              <w:right w:val="nil"/>
            </w:tcBorders>
            <w:shd w:val="clear" w:color="000000" w:fill="D8D8D8"/>
            <w:vAlign w:val="bottom"/>
          </w:tcPr>
          <w:p w:rsidR="00B83890" w:rsidRPr="00A33C6E" w:rsidRDefault="00B83890" w:rsidP="006E6DC8">
            <w:pPr>
              <w:jc w:val="center"/>
              <w:rPr>
                <w:rFonts w:cs="Arial"/>
                <w:i/>
                <w:iCs/>
                <w:sz w:val="18"/>
                <w:szCs w:val="18"/>
              </w:rPr>
            </w:pPr>
            <w:r w:rsidRPr="00A33C6E">
              <w:rPr>
                <w:rFonts w:cs="Arial"/>
                <w:i/>
                <w:iCs/>
                <w:sz w:val="18"/>
                <w:szCs w:val="18"/>
              </w:rPr>
              <w:t> </w:t>
            </w:r>
          </w:p>
        </w:tc>
        <w:tc>
          <w:tcPr>
            <w:tcW w:w="1000" w:type="dxa"/>
            <w:tcBorders>
              <w:top w:val="nil"/>
              <w:left w:val="nil"/>
              <w:bottom w:val="nil"/>
              <w:right w:val="nil"/>
            </w:tcBorders>
            <w:vAlign w:val="bottom"/>
          </w:tcPr>
          <w:p w:rsidR="00B83890" w:rsidRPr="00A33C6E" w:rsidRDefault="00B83890" w:rsidP="006E6DC8">
            <w:pPr>
              <w:jc w:val="center"/>
              <w:rPr>
                <w:rFonts w:cs="Arial"/>
                <w:i/>
                <w:iCs/>
                <w:sz w:val="18"/>
                <w:szCs w:val="18"/>
              </w:rPr>
            </w:pPr>
          </w:p>
        </w:tc>
        <w:tc>
          <w:tcPr>
            <w:tcW w:w="1080" w:type="dxa"/>
            <w:tcBorders>
              <w:top w:val="nil"/>
              <w:left w:val="nil"/>
              <w:bottom w:val="nil"/>
              <w:right w:val="nil"/>
            </w:tcBorders>
            <w:shd w:val="clear" w:color="000000" w:fill="D8D8D8"/>
            <w:vAlign w:val="bottom"/>
          </w:tcPr>
          <w:p w:rsidR="00B83890" w:rsidRPr="00A33C6E" w:rsidRDefault="00B83890" w:rsidP="006E6DC8">
            <w:pPr>
              <w:rPr>
                <w:rFonts w:cs="Arial"/>
                <w:i/>
                <w:iCs/>
                <w:sz w:val="18"/>
                <w:szCs w:val="18"/>
              </w:rPr>
            </w:pPr>
            <w:r w:rsidRPr="00A33C6E">
              <w:rPr>
                <w:rFonts w:cs="Arial"/>
                <w:i/>
                <w:iCs/>
                <w:sz w:val="18"/>
                <w:szCs w:val="18"/>
              </w:rPr>
              <w:t> </w:t>
            </w:r>
          </w:p>
        </w:tc>
      </w:tr>
      <w:tr w:rsidR="00B83890" w:rsidRPr="00A33C6E" w:rsidTr="006E6DC8">
        <w:trPr>
          <w:trHeight w:val="225"/>
        </w:trPr>
        <w:tc>
          <w:tcPr>
            <w:tcW w:w="3220" w:type="dxa"/>
            <w:tcBorders>
              <w:top w:val="nil"/>
              <w:left w:val="nil"/>
              <w:bottom w:val="nil"/>
              <w:right w:val="nil"/>
            </w:tcBorders>
            <w:noWrap/>
            <w:vAlign w:val="bottom"/>
          </w:tcPr>
          <w:p w:rsidR="00B83890" w:rsidRPr="00A33C6E" w:rsidRDefault="00B83890" w:rsidP="006E6DC8">
            <w:pPr>
              <w:rPr>
                <w:rFonts w:cs="Arial"/>
                <w:sz w:val="18"/>
                <w:szCs w:val="18"/>
              </w:rPr>
            </w:pPr>
            <w:r w:rsidRPr="00A33C6E">
              <w:rPr>
                <w:rFonts w:cs="Arial"/>
                <w:sz w:val="18"/>
                <w:szCs w:val="18"/>
              </w:rPr>
              <w:t>Payables:</w:t>
            </w:r>
          </w:p>
        </w:tc>
        <w:tc>
          <w:tcPr>
            <w:tcW w:w="118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c>
          <w:tcPr>
            <w:tcW w:w="1020" w:type="dxa"/>
            <w:tcBorders>
              <w:top w:val="nil"/>
              <w:left w:val="nil"/>
              <w:bottom w:val="nil"/>
              <w:right w:val="nil"/>
            </w:tcBorders>
            <w:noWrap/>
            <w:vAlign w:val="bottom"/>
          </w:tcPr>
          <w:p w:rsidR="00B83890" w:rsidRPr="00A33C6E" w:rsidRDefault="00B83890" w:rsidP="006E6DC8">
            <w:pPr>
              <w:rPr>
                <w:rFonts w:cs="Arial"/>
                <w:sz w:val="18"/>
                <w:szCs w:val="18"/>
              </w:rPr>
            </w:pPr>
          </w:p>
        </w:tc>
        <w:tc>
          <w:tcPr>
            <w:tcW w:w="100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c>
          <w:tcPr>
            <w:tcW w:w="1000" w:type="dxa"/>
            <w:tcBorders>
              <w:top w:val="nil"/>
              <w:left w:val="nil"/>
              <w:bottom w:val="nil"/>
              <w:right w:val="nil"/>
            </w:tcBorders>
            <w:noWrap/>
            <w:vAlign w:val="bottom"/>
          </w:tcPr>
          <w:p w:rsidR="00B83890" w:rsidRPr="00A33C6E" w:rsidRDefault="00B83890" w:rsidP="006E6DC8">
            <w:pPr>
              <w:rPr>
                <w:rFonts w:cs="Arial"/>
                <w:sz w:val="18"/>
                <w:szCs w:val="18"/>
              </w:rPr>
            </w:pPr>
          </w:p>
        </w:tc>
        <w:tc>
          <w:tcPr>
            <w:tcW w:w="108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r>
      <w:tr w:rsidR="00B83890" w:rsidRPr="00A33C6E" w:rsidTr="006E6DC8">
        <w:trPr>
          <w:trHeight w:val="225"/>
        </w:trPr>
        <w:tc>
          <w:tcPr>
            <w:tcW w:w="3220" w:type="dxa"/>
            <w:tcBorders>
              <w:top w:val="nil"/>
              <w:left w:val="nil"/>
              <w:bottom w:val="nil"/>
              <w:right w:val="nil"/>
            </w:tcBorders>
            <w:noWrap/>
            <w:vAlign w:val="bottom"/>
          </w:tcPr>
          <w:p w:rsidR="00B83890" w:rsidRPr="00A33C6E" w:rsidRDefault="00B83890" w:rsidP="006E6DC8">
            <w:pPr>
              <w:rPr>
                <w:rFonts w:cs="Arial"/>
                <w:sz w:val="18"/>
                <w:szCs w:val="18"/>
              </w:rPr>
            </w:pPr>
            <w:r w:rsidRPr="00A33C6E">
              <w:rPr>
                <w:rFonts w:cs="Arial"/>
                <w:sz w:val="18"/>
                <w:szCs w:val="18"/>
              </w:rPr>
              <w:t xml:space="preserve">   Trade and other creditors</w:t>
            </w:r>
          </w:p>
        </w:tc>
        <w:tc>
          <w:tcPr>
            <w:tcW w:w="1180" w:type="dxa"/>
            <w:tcBorders>
              <w:top w:val="nil"/>
              <w:left w:val="nil"/>
              <w:bottom w:val="nil"/>
              <w:right w:val="nil"/>
            </w:tcBorders>
            <w:shd w:val="clear" w:color="000000" w:fill="D8D8D8"/>
            <w:noWrap/>
            <w:vAlign w:val="bottom"/>
          </w:tcPr>
          <w:p w:rsidR="00B83890" w:rsidRPr="00A33C6E" w:rsidRDefault="00B83890" w:rsidP="006E6DC8">
            <w:pPr>
              <w:jc w:val="right"/>
              <w:rPr>
                <w:rFonts w:cs="Arial"/>
                <w:sz w:val="18"/>
                <w:szCs w:val="18"/>
              </w:rPr>
            </w:pPr>
          </w:p>
        </w:tc>
        <w:tc>
          <w:tcPr>
            <w:tcW w:w="1020" w:type="dxa"/>
            <w:tcBorders>
              <w:top w:val="nil"/>
              <w:left w:val="nil"/>
              <w:bottom w:val="nil"/>
              <w:right w:val="nil"/>
            </w:tcBorders>
            <w:noWrap/>
            <w:vAlign w:val="bottom"/>
          </w:tcPr>
          <w:p w:rsidR="00B83890" w:rsidRPr="00A33C6E" w:rsidRDefault="00B83890" w:rsidP="006E6DC8">
            <w:pPr>
              <w:jc w:val="right"/>
              <w:rPr>
                <w:rFonts w:cs="Arial"/>
                <w:sz w:val="18"/>
                <w:szCs w:val="18"/>
              </w:rPr>
            </w:pPr>
            <w:r w:rsidRPr="00A33C6E">
              <w:rPr>
                <w:rFonts w:cs="Arial"/>
                <w:sz w:val="18"/>
                <w:szCs w:val="18"/>
              </w:rPr>
              <w:t>6,111</w:t>
            </w:r>
          </w:p>
        </w:tc>
        <w:tc>
          <w:tcPr>
            <w:tcW w:w="1000" w:type="dxa"/>
            <w:tcBorders>
              <w:top w:val="nil"/>
              <w:left w:val="nil"/>
              <w:bottom w:val="nil"/>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0</w:t>
            </w:r>
          </w:p>
        </w:tc>
        <w:tc>
          <w:tcPr>
            <w:tcW w:w="1000" w:type="dxa"/>
            <w:tcBorders>
              <w:top w:val="nil"/>
              <w:left w:val="nil"/>
              <w:bottom w:val="nil"/>
              <w:right w:val="nil"/>
            </w:tcBorders>
            <w:noWrap/>
            <w:vAlign w:val="bottom"/>
          </w:tcPr>
          <w:p w:rsidR="00B83890" w:rsidRPr="00A33C6E" w:rsidRDefault="00B83890" w:rsidP="006E6DC8">
            <w:pPr>
              <w:jc w:val="right"/>
              <w:rPr>
                <w:rFonts w:cs="Arial"/>
                <w:sz w:val="18"/>
                <w:szCs w:val="18"/>
              </w:rPr>
            </w:pPr>
            <w:r w:rsidRPr="00A33C6E">
              <w:rPr>
                <w:rFonts w:cs="Arial"/>
                <w:sz w:val="18"/>
                <w:szCs w:val="18"/>
              </w:rPr>
              <w:t>0</w:t>
            </w:r>
          </w:p>
        </w:tc>
        <w:tc>
          <w:tcPr>
            <w:tcW w:w="1080" w:type="dxa"/>
            <w:tcBorders>
              <w:top w:val="nil"/>
              <w:left w:val="nil"/>
              <w:bottom w:val="nil"/>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6,111</w:t>
            </w:r>
          </w:p>
        </w:tc>
      </w:tr>
      <w:tr w:rsidR="00B83890" w:rsidRPr="00A33C6E" w:rsidTr="006E6DC8">
        <w:trPr>
          <w:trHeight w:val="225"/>
        </w:trPr>
        <w:tc>
          <w:tcPr>
            <w:tcW w:w="3220" w:type="dxa"/>
            <w:tcBorders>
              <w:top w:val="nil"/>
              <w:left w:val="nil"/>
              <w:bottom w:val="nil"/>
              <w:right w:val="nil"/>
            </w:tcBorders>
            <w:noWrap/>
            <w:vAlign w:val="bottom"/>
          </w:tcPr>
          <w:p w:rsidR="00B83890" w:rsidRPr="00A33C6E" w:rsidRDefault="00B83890" w:rsidP="006E6DC8">
            <w:pPr>
              <w:rPr>
                <w:rFonts w:cs="Arial"/>
                <w:sz w:val="18"/>
                <w:szCs w:val="18"/>
              </w:rPr>
            </w:pPr>
            <w:r w:rsidRPr="00A33C6E">
              <w:rPr>
                <w:rFonts w:cs="Arial"/>
                <w:sz w:val="18"/>
                <w:szCs w:val="18"/>
              </w:rPr>
              <w:t>Interest bearing liabilities:</w:t>
            </w:r>
          </w:p>
        </w:tc>
        <w:tc>
          <w:tcPr>
            <w:tcW w:w="118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c>
          <w:tcPr>
            <w:tcW w:w="1020" w:type="dxa"/>
            <w:tcBorders>
              <w:top w:val="nil"/>
              <w:left w:val="nil"/>
              <w:bottom w:val="nil"/>
              <w:right w:val="nil"/>
            </w:tcBorders>
            <w:noWrap/>
            <w:vAlign w:val="bottom"/>
          </w:tcPr>
          <w:p w:rsidR="00B83890" w:rsidRPr="00A33C6E" w:rsidRDefault="00B83890" w:rsidP="006E6DC8">
            <w:pPr>
              <w:rPr>
                <w:rFonts w:cs="Arial"/>
                <w:sz w:val="18"/>
                <w:szCs w:val="18"/>
              </w:rPr>
            </w:pPr>
          </w:p>
        </w:tc>
        <w:tc>
          <w:tcPr>
            <w:tcW w:w="100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c>
          <w:tcPr>
            <w:tcW w:w="1000" w:type="dxa"/>
            <w:tcBorders>
              <w:top w:val="nil"/>
              <w:left w:val="nil"/>
              <w:bottom w:val="nil"/>
              <w:right w:val="nil"/>
            </w:tcBorders>
            <w:noWrap/>
            <w:vAlign w:val="bottom"/>
          </w:tcPr>
          <w:p w:rsidR="00B83890" w:rsidRPr="00A33C6E" w:rsidRDefault="00B83890" w:rsidP="006E6DC8">
            <w:pPr>
              <w:rPr>
                <w:rFonts w:cs="Arial"/>
                <w:sz w:val="18"/>
                <w:szCs w:val="18"/>
              </w:rPr>
            </w:pPr>
          </w:p>
        </w:tc>
        <w:tc>
          <w:tcPr>
            <w:tcW w:w="1080" w:type="dxa"/>
            <w:tcBorders>
              <w:top w:val="nil"/>
              <w:left w:val="nil"/>
              <w:bottom w:val="nil"/>
              <w:right w:val="nil"/>
            </w:tcBorders>
            <w:shd w:val="clear" w:color="000000" w:fill="D8D8D8"/>
            <w:noWrap/>
            <w:vAlign w:val="bottom"/>
          </w:tcPr>
          <w:p w:rsidR="00B83890" w:rsidRPr="00A33C6E" w:rsidRDefault="00B83890" w:rsidP="006E6DC8">
            <w:pPr>
              <w:rPr>
                <w:rFonts w:cs="Arial"/>
                <w:sz w:val="18"/>
                <w:szCs w:val="18"/>
              </w:rPr>
            </w:pPr>
            <w:r w:rsidRPr="00A33C6E">
              <w:rPr>
                <w:rFonts w:cs="Arial"/>
                <w:sz w:val="18"/>
                <w:szCs w:val="18"/>
              </w:rPr>
              <w:t> </w:t>
            </w:r>
          </w:p>
        </w:tc>
      </w:tr>
      <w:tr w:rsidR="00B83890" w:rsidRPr="00A33C6E" w:rsidTr="006E6DC8">
        <w:trPr>
          <w:trHeight w:val="225"/>
        </w:trPr>
        <w:tc>
          <w:tcPr>
            <w:tcW w:w="3220" w:type="dxa"/>
            <w:tcBorders>
              <w:top w:val="nil"/>
              <w:left w:val="nil"/>
              <w:bottom w:val="single" w:sz="4" w:space="0" w:color="auto"/>
              <w:right w:val="nil"/>
            </w:tcBorders>
            <w:noWrap/>
            <w:vAlign w:val="bottom"/>
          </w:tcPr>
          <w:p w:rsidR="00B83890" w:rsidRPr="00A33C6E" w:rsidRDefault="00B83890" w:rsidP="006E6DC8">
            <w:pPr>
              <w:rPr>
                <w:rFonts w:cs="Arial"/>
                <w:sz w:val="18"/>
                <w:szCs w:val="18"/>
              </w:rPr>
            </w:pPr>
            <w:r w:rsidRPr="00A33C6E">
              <w:rPr>
                <w:rFonts w:cs="Arial"/>
                <w:sz w:val="18"/>
                <w:szCs w:val="18"/>
              </w:rPr>
              <w:t xml:space="preserve">   Lease liabilities</w:t>
            </w:r>
          </w:p>
        </w:tc>
        <w:tc>
          <w:tcPr>
            <w:tcW w:w="1180" w:type="dxa"/>
            <w:tcBorders>
              <w:top w:val="nil"/>
              <w:left w:val="nil"/>
              <w:bottom w:val="single" w:sz="4" w:space="0" w:color="auto"/>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6.66%</w:t>
            </w:r>
          </w:p>
        </w:tc>
        <w:tc>
          <w:tcPr>
            <w:tcW w:w="1020" w:type="dxa"/>
            <w:tcBorders>
              <w:top w:val="nil"/>
              <w:left w:val="nil"/>
              <w:bottom w:val="single" w:sz="4" w:space="0" w:color="auto"/>
              <w:right w:val="nil"/>
            </w:tcBorders>
            <w:noWrap/>
            <w:vAlign w:val="bottom"/>
          </w:tcPr>
          <w:p w:rsidR="00B83890" w:rsidRPr="00A33C6E" w:rsidRDefault="00B83890" w:rsidP="006E6DC8">
            <w:pPr>
              <w:jc w:val="right"/>
              <w:rPr>
                <w:rFonts w:cs="Arial"/>
                <w:sz w:val="18"/>
                <w:szCs w:val="18"/>
              </w:rPr>
            </w:pPr>
            <w:r w:rsidRPr="00A33C6E">
              <w:rPr>
                <w:rFonts w:cs="Arial"/>
                <w:sz w:val="18"/>
                <w:szCs w:val="18"/>
              </w:rPr>
              <w:t>332</w:t>
            </w:r>
          </w:p>
        </w:tc>
        <w:tc>
          <w:tcPr>
            <w:tcW w:w="1000" w:type="dxa"/>
            <w:tcBorders>
              <w:top w:val="nil"/>
              <w:left w:val="nil"/>
              <w:bottom w:val="single" w:sz="4" w:space="0" w:color="auto"/>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0</w:t>
            </w:r>
          </w:p>
        </w:tc>
        <w:tc>
          <w:tcPr>
            <w:tcW w:w="1000" w:type="dxa"/>
            <w:tcBorders>
              <w:top w:val="nil"/>
              <w:left w:val="nil"/>
              <w:bottom w:val="single" w:sz="4" w:space="0" w:color="auto"/>
              <w:right w:val="nil"/>
            </w:tcBorders>
            <w:noWrap/>
            <w:vAlign w:val="bottom"/>
          </w:tcPr>
          <w:p w:rsidR="00B83890" w:rsidRPr="00A33C6E" w:rsidRDefault="00B83890" w:rsidP="006E6DC8">
            <w:pPr>
              <w:jc w:val="right"/>
              <w:rPr>
                <w:rFonts w:cs="Arial"/>
                <w:sz w:val="18"/>
                <w:szCs w:val="18"/>
              </w:rPr>
            </w:pPr>
            <w:r w:rsidRPr="00A33C6E">
              <w:rPr>
                <w:rFonts w:cs="Arial"/>
                <w:sz w:val="18"/>
                <w:szCs w:val="18"/>
              </w:rPr>
              <w:t>332</w:t>
            </w:r>
          </w:p>
        </w:tc>
        <w:tc>
          <w:tcPr>
            <w:tcW w:w="1080" w:type="dxa"/>
            <w:tcBorders>
              <w:top w:val="nil"/>
              <w:left w:val="nil"/>
              <w:bottom w:val="single" w:sz="4" w:space="0" w:color="auto"/>
              <w:right w:val="nil"/>
            </w:tcBorders>
            <w:shd w:val="clear" w:color="000000" w:fill="D8D8D8"/>
            <w:noWrap/>
            <w:vAlign w:val="bottom"/>
          </w:tcPr>
          <w:p w:rsidR="00B83890" w:rsidRPr="00A33C6E" w:rsidRDefault="00B83890" w:rsidP="006E6DC8">
            <w:pPr>
              <w:jc w:val="right"/>
              <w:rPr>
                <w:rFonts w:cs="Arial"/>
                <w:sz w:val="18"/>
                <w:szCs w:val="18"/>
              </w:rPr>
            </w:pPr>
            <w:r w:rsidRPr="00A33C6E">
              <w:rPr>
                <w:rFonts w:cs="Arial"/>
                <w:sz w:val="18"/>
                <w:szCs w:val="18"/>
              </w:rPr>
              <w:t>0</w:t>
            </w:r>
          </w:p>
        </w:tc>
      </w:tr>
      <w:tr w:rsidR="00B83890" w:rsidRPr="00A33C6E" w:rsidTr="006E6DC8">
        <w:trPr>
          <w:trHeight w:val="225"/>
        </w:trPr>
        <w:tc>
          <w:tcPr>
            <w:tcW w:w="3220" w:type="dxa"/>
            <w:tcBorders>
              <w:top w:val="nil"/>
              <w:left w:val="nil"/>
              <w:bottom w:val="single" w:sz="4" w:space="0" w:color="auto"/>
              <w:right w:val="nil"/>
            </w:tcBorders>
            <w:noWrap/>
            <w:vAlign w:val="bottom"/>
          </w:tcPr>
          <w:p w:rsidR="00B83890" w:rsidRPr="00A33C6E" w:rsidRDefault="00B83890" w:rsidP="006E6DC8">
            <w:pPr>
              <w:rPr>
                <w:rFonts w:cs="Arial"/>
                <w:b/>
                <w:bCs/>
                <w:sz w:val="18"/>
                <w:szCs w:val="18"/>
              </w:rPr>
            </w:pPr>
            <w:r w:rsidRPr="00A33C6E">
              <w:rPr>
                <w:rFonts w:cs="Arial"/>
                <w:b/>
                <w:bCs/>
                <w:sz w:val="18"/>
                <w:szCs w:val="18"/>
              </w:rPr>
              <w:t>Total financial liabilities</w:t>
            </w:r>
          </w:p>
        </w:tc>
        <w:tc>
          <w:tcPr>
            <w:tcW w:w="1180" w:type="dxa"/>
            <w:tcBorders>
              <w:top w:val="nil"/>
              <w:left w:val="nil"/>
              <w:bottom w:val="single" w:sz="4" w:space="0" w:color="auto"/>
              <w:right w:val="nil"/>
            </w:tcBorders>
            <w:shd w:val="clear" w:color="000000" w:fill="D8D8D8"/>
            <w:noWrap/>
            <w:vAlign w:val="bottom"/>
          </w:tcPr>
          <w:p w:rsidR="00B83890" w:rsidRPr="00A33C6E" w:rsidRDefault="00B83890" w:rsidP="006E6DC8">
            <w:pPr>
              <w:rPr>
                <w:rFonts w:cs="Arial"/>
                <w:b/>
                <w:bCs/>
                <w:sz w:val="18"/>
                <w:szCs w:val="18"/>
              </w:rPr>
            </w:pPr>
            <w:r w:rsidRPr="00A33C6E">
              <w:rPr>
                <w:rFonts w:cs="Arial"/>
                <w:b/>
                <w:bCs/>
                <w:sz w:val="18"/>
                <w:szCs w:val="18"/>
              </w:rPr>
              <w:t> </w:t>
            </w:r>
          </w:p>
        </w:tc>
        <w:tc>
          <w:tcPr>
            <w:tcW w:w="1020" w:type="dxa"/>
            <w:tcBorders>
              <w:top w:val="nil"/>
              <w:left w:val="nil"/>
              <w:bottom w:val="single" w:sz="4" w:space="0" w:color="auto"/>
              <w:right w:val="nil"/>
            </w:tcBorders>
            <w:noWrap/>
            <w:vAlign w:val="bottom"/>
          </w:tcPr>
          <w:p w:rsidR="00B83890" w:rsidRPr="00A33C6E" w:rsidRDefault="00B83890" w:rsidP="006E6DC8">
            <w:pPr>
              <w:jc w:val="right"/>
              <w:rPr>
                <w:rFonts w:cs="Arial"/>
                <w:b/>
                <w:bCs/>
                <w:sz w:val="18"/>
                <w:szCs w:val="18"/>
              </w:rPr>
            </w:pPr>
            <w:r w:rsidRPr="00A33C6E">
              <w:rPr>
                <w:rFonts w:cs="Arial"/>
                <w:b/>
                <w:bCs/>
                <w:sz w:val="18"/>
                <w:szCs w:val="18"/>
              </w:rPr>
              <w:t>6,443</w:t>
            </w:r>
          </w:p>
        </w:tc>
        <w:tc>
          <w:tcPr>
            <w:tcW w:w="1000" w:type="dxa"/>
            <w:tcBorders>
              <w:top w:val="nil"/>
              <w:left w:val="nil"/>
              <w:bottom w:val="single" w:sz="4" w:space="0" w:color="auto"/>
              <w:right w:val="nil"/>
            </w:tcBorders>
            <w:shd w:val="clear" w:color="000000" w:fill="D8D8D8"/>
            <w:noWrap/>
            <w:vAlign w:val="bottom"/>
          </w:tcPr>
          <w:p w:rsidR="00B83890" w:rsidRPr="00A33C6E" w:rsidRDefault="00B83890" w:rsidP="006E6DC8">
            <w:pPr>
              <w:jc w:val="right"/>
              <w:rPr>
                <w:rFonts w:cs="Arial"/>
                <w:b/>
                <w:bCs/>
                <w:sz w:val="18"/>
                <w:szCs w:val="18"/>
              </w:rPr>
            </w:pPr>
            <w:r w:rsidRPr="00A33C6E">
              <w:rPr>
                <w:rFonts w:cs="Arial"/>
                <w:b/>
                <w:bCs/>
                <w:sz w:val="18"/>
                <w:szCs w:val="18"/>
              </w:rPr>
              <w:t>0</w:t>
            </w:r>
          </w:p>
        </w:tc>
        <w:tc>
          <w:tcPr>
            <w:tcW w:w="1000" w:type="dxa"/>
            <w:tcBorders>
              <w:top w:val="nil"/>
              <w:left w:val="nil"/>
              <w:bottom w:val="single" w:sz="4" w:space="0" w:color="auto"/>
              <w:right w:val="nil"/>
            </w:tcBorders>
            <w:noWrap/>
            <w:vAlign w:val="bottom"/>
          </w:tcPr>
          <w:p w:rsidR="00B83890" w:rsidRPr="00A33C6E" w:rsidRDefault="00B83890" w:rsidP="006E6DC8">
            <w:pPr>
              <w:jc w:val="right"/>
              <w:rPr>
                <w:rFonts w:cs="Arial"/>
                <w:b/>
                <w:bCs/>
                <w:sz w:val="18"/>
                <w:szCs w:val="18"/>
              </w:rPr>
            </w:pPr>
            <w:r w:rsidRPr="00A33C6E">
              <w:rPr>
                <w:rFonts w:cs="Arial"/>
                <w:b/>
                <w:bCs/>
                <w:sz w:val="18"/>
                <w:szCs w:val="18"/>
              </w:rPr>
              <w:t>332</w:t>
            </w:r>
          </w:p>
        </w:tc>
        <w:tc>
          <w:tcPr>
            <w:tcW w:w="1080" w:type="dxa"/>
            <w:tcBorders>
              <w:top w:val="nil"/>
              <w:left w:val="nil"/>
              <w:bottom w:val="single" w:sz="4" w:space="0" w:color="auto"/>
              <w:right w:val="nil"/>
            </w:tcBorders>
            <w:shd w:val="clear" w:color="000000" w:fill="D8D8D8"/>
            <w:noWrap/>
            <w:vAlign w:val="bottom"/>
          </w:tcPr>
          <w:p w:rsidR="00B83890" w:rsidRPr="00A33C6E" w:rsidRDefault="00B83890" w:rsidP="006E6DC8">
            <w:pPr>
              <w:jc w:val="right"/>
              <w:rPr>
                <w:rFonts w:cs="Arial"/>
                <w:b/>
                <w:bCs/>
                <w:sz w:val="18"/>
                <w:szCs w:val="18"/>
              </w:rPr>
            </w:pPr>
            <w:r w:rsidRPr="00A33C6E">
              <w:rPr>
                <w:rFonts w:cs="Arial"/>
                <w:b/>
                <w:bCs/>
                <w:sz w:val="18"/>
                <w:szCs w:val="18"/>
              </w:rPr>
              <w:t>6,111</w:t>
            </w:r>
          </w:p>
        </w:tc>
      </w:tr>
    </w:tbl>
    <w:p w:rsidR="00B83890" w:rsidRDefault="00B83890" w:rsidP="00B83890">
      <w:pPr>
        <w:rPr>
          <w:rFonts w:cs="Arial"/>
        </w:rPr>
      </w:pPr>
    </w:p>
    <w:p w:rsidR="00B83890" w:rsidRPr="00DA3C3A" w:rsidRDefault="00B83890" w:rsidP="00B83890">
      <w:pPr>
        <w:tabs>
          <w:tab w:val="left" w:pos="525"/>
        </w:tabs>
        <w:rPr>
          <w:rFonts w:cs="Arial"/>
          <w:b/>
          <w:color w:val="FF0000"/>
        </w:rPr>
      </w:pPr>
    </w:p>
    <w:p w:rsidR="00B83890" w:rsidRPr="00FF5952" w:rsidRDefault="00B83890" w:rsidP="00B83890">
      <w:pPr>
        <w:rPr>
          <w:rFonts w:cs="Arial"/>
          <w:b/>
          <w:color w:val="FF0000"/>
        </w:rPr>
      </w:pPr>
    </w:p>
    <w:p w:rsidR="00B83890" w:rsidRDefault="00B83890" w:rsidP="00B83890">
      <w:pPr>
        <w:keepNext w:val="0"/>
        <w:outlineLvl w:val="9"/>
        <w:rPr>
          <w:b/>
          <w:color w:val="FF0000"/>
        </w:rPr>
      </w:pPr>
      <w:r>
        <w:rPr>
          <w:b/>
          <w:color w:val="FF0000"/>
        </w:rPr>
        <w:br w:type="page"/>
      </w:r>
    </w:p>
    <w:p w:rsidR="00B83890" w:rsidRPr="00D605F7" w:rsidRDefault="00B83890" w:rsidP="002F6ECA">
      <w:pPr>
        <w:pStyle w:val="Heading3"/>
        <w:rPr>
          <w:i/>
        </w:rPr>
      </w:pPr>
      <w:r>
        <w:lastRenderedPageBreak/>
        <w:t>19</w:t>
      </w:r>
      <w:r w:rsidRPr="00D605F7">
        <w:t>.</w:t>
      </w:r>
      <w:r w:rsidRPr="00D605F7">
        <w:tab/>
        <w:t>FINANCIAL INSTRUMENTS (CONT’D)</w:t>
      </w:r>
    </w:p>
    <w:p w:rsidR="00B83890" w:rsidRDefault="00B83890" w:rsidP="00B83890">
      <w:pPr>
        <w:rPr>
          <w:rFonts w:cs="Arial"/>
        </w:rPr>
      </w:pPr>
    </w:p>
    <w:p w:rsidR="00B83890" w:rsidRPr="00105D2D" w:rsidRDefault="0099724A" w:rsidP="002F6ECA">
      <w:pPr>
        <w:pStyle w:val="Heading4"/>
      </w:pPr>
      <w:r>
        <w:t xml:space="preserve">(f) </w:t>
      </w:r>
      <w:r w:rsidR="00B83890" w:rsidRPr="00105D2D">
        <w:t>Fair value</w:t>
      </w:r>
    </w:p>
    <w:p w:rsidR="00B83890" w:rsidRPr="00105D2D" w:rsidRDefault="00B83890" w:rsidP="00B83890">
      <w:r w:rsidRPr="00105D2D">
        <w:t xml:space="preserve">The fair values and net fair values of financial instrument assets and liabilities are determined as follows: </w:t>
      </w:r>
    </w:p>
    <w:p w:rsidR="00B83890" w:rsidRDefault="00B83890" w:rsidP="00C14C5D">
      <w:pPr>
        <w:keepNext w:val="0"/>
        <w:numPr>
          <w:ilvl w:val="0"/>
          <w:numId w:val="27"/>
        </w:numPr>
        <w:outlineLvl w:val="9"/>
      </w:pPr>
      <w:r w:rsidRPr="00105D2D">
        <w:t>the fair value of financial instrument</w:t>
      </w:r>
      <w:r>
        <w:t>s</w:t>
      </w:r>
      <w:r w:rsidRPr="00105D2D">
        <w:t xml:space="preserve"> with standard terms and conditions and traded in active liquid markets are determined with reference to quoted market prices; and</w:t>
      </w:r>
    </w:p>
    <w:p w:rsidR="00B83890" w:rsidRPr="009924A4" w:rsidRDefault="00B83890" w:rsidP="00C14C5D">
      <w:pPr>
        <w:keepNext w:val="0"/>
        <w:numPr>
          <w:ilvl w:val="0"/>
          <w:numId w:val="27"/>
        </w:numPr>
        <w:outlineLvl w:val="9"/>
        <w:rPr>
          <w:rFonts w:cs="Arial"/>
        </w:rPr>
      </w:pPr>
      <w:r w:rsidRPr="009924A4">
        <w:rPr>
          <w:rFonts w:cs="Arial"/>
        </w:rPr>
        <w:t>the fair value is determined using inputs other than quoted prices that are observable for the financial asset or liability, either directly or indirectly; and</w:t>
      </w:r>
    </w:p>
    <w:p w:rsidR="00B83890" w:rsidRPr="00105D2D" w:rsidRDefault="00B83890" w:rsidP="00C14C5D">
      <w:pPr>
        <w:keepNext w:val="0"/>
        <w:numPr>
          <w:ilvl w:val="0"/>
          <w:numId w:val="27"/>
        </w:numPr>
        <w:outlineLvl w:val="9"/>
      </w:pPr>
      <w:r w:rsidRPr="00105D2D">
        <w:t xml:space="preserve">the fair value </w:t>
      </w:r>
      <w:r>
        <w:t xml:space="preserve">is </w:t>
      </w:r>
      <w:r w:rsidRPr="009924A4">
        <w:t>determined in accordance with generally accepted pricing models based on discounted cash flow analysis using unobservable market inputs</w:t>
      </w:r>
      <w:r w:rsidRPr="00105D2D">
        <w:t>.</w:t>
      </w:r>
    </w:p>
    <w:p w:rsidR="00B83890" w:rsidRDefault="00B83890" w:rsidP="00B83890"/>
    <w:p w:rsidR="00B83890" w:rsidRDefault="00B83890" w:rsidP="00B83890">
      <w:r w:rsidRPr="00105D2D">
        <w:t xml:space="preserve">The </w:t>
      </w:r>
      <w:r>
        <w:t>entity</w:t>
      </w:r>
      <w:r w:rsidRPr="00105D2D">
        <w:t xml:space="preserve"> considers that the carrying amount of financial instrument assets and liabilities recorded in the financial statements to be a fair approximation of their fair values, because of the short term nature of the financial instruments and the expectation that they will be paid in full.</w:t>
      </w:r>
    </w:p>
    <w:p w:rsidR="009C0D27" w:rsidRDefault="009C0D27" w:rsidP="00B83890"/>
    <w:p w:rsidR="00B83890" w:rsidRDefault="00B83890" w:rsidP="002F6ECA">
      <w:pPr>
        <w:pStyle w:val="Heading3"/>
        <w:rPr>
          <w:i/>
        </w:rPr>
      </w:pPr>
      <w:r w:rsidRPr="00D605F7">
        <w:t>2</w:t>
      </w:r>
      <w:r>
        <w:t>0</w:t>
      </w:r>
      <w:r w:rsidRPr="00D605F7">
        <w:t>. REMUNERATION OF AUDITORS</w:t>
      </w:r>
    </w:p>
    <w:tbl>
      <w:tblPr>
        <w:tblW w:w="9528" w:type="dxa"/>
        <w:tblLayout w:type="fixed"/>
        <w:tblCellMar>
          <w:left w:w="30" w:type="dxa"/>
          <w:right w:w="30" w:type="dxa"/>
        </w:tblCellMar>
        <w:tblLook w:val="0000" w:firstRow="0" w:lastRow="0" w:firstColumn="0" w:lastColumn="0" w:noHBand="0" w:noVBand="0"/>
        <w:tblCaption w:val="Remuneration of Auditors"/>
        <w:tblDescription w:val="This table shows Remuneration of Auditors for 2012–13 with comparison to 2011–12."/>
      </w:tblPr>
      <w:tblGrid>
        <w:gridCol w:w="5559"/>
        <w:gridCol w:w="425"/>
        <w:gridCol w:w="567"/>
        <w:gridCol w:w="1701"/>
        <w:gridCol w:w="1276"/>
      </w:tblGrid>
      <w:tr w:rsidR="00B83890" w:rsidTr="006E6DC8">
        <w:trPr>
          <w:cantSplit/>
          <w:trHeight w:val="255"/>
        </w:trPr>
        <w:tc>
          <w:tcPr>
            <w:tcW w:w="5984" w:type="dxa"/>
            <w:gridSpan w:val="2"/>
            <w:vAlign w:val="center"/>
          </w:tcPr>
          <w:p w:rsidR="00B83890" w:rsidRDefault="00B83890" w:rsidP="006E6DC8">
            <w:pPr>
              <w:jc w:val="right"/>
              <w:rPr>
                <w:color w:val="000000"/>
                <w:lang w:val="en-GB"/>
              </w:rPr>
            </w:pPr>
          </w:p>
        </w:tc>
        <w:tc>
          <w:tcPr>
            <w:tcW w:w="2268" w:type="dxa"/>
            <w:gridSpan w:val="2"/>
            <w:vAlign w:val="center"/>
          </w:tcPr>
          <w:p w:rsidR="00B83890" w:rsidRDefault="00B83890" w:rsidP="006E6DC8">
            <w:pPr>
              <w:jc w:val="right"/>
              <w:rPr>
                <w:b/>
                <w:i/>
                <w:sz w:val="18"/>
                <w:lang w:val="en-GB"/>
              </w:rPr>
            </w:pPr>
            <w:r>
              <w:rPr>
                <w:b/>
                <w:lang w:val="en-GB"/>
              </w:rPr>
              <w:t>2013</w:t>
            </w:r>
          </w:p>
        </w:tc>
        <w:tc>
          <w:tcPr>
            <w:tcW w:w="1276" w:type="dxa"/>
            <w:vAlign w:val="center"/>
          </w:tcPr>
          <w:p w:rsidR="00B83890" w:rsidRDefault="00B83890" w:rsidP="006E6DC8">
            <w:pPr>
              <w:jc w:val="right"/>
              <w:rPr>
                <w:b/>
                <w:i/>
                <w:sz w:val="18"/>
                <w:lang w:val="en-GB"/>
              </w:rPr>
            </w:pPr>
            <w:r>
              <w:rPr>
                <w:b/>
                <w:lang w:val="en-GB"/>
              </w:rPr>
              <w:t>2012</w:t>
            </w:r>
          </w:p>
        </w:tc>
      </w:tr>
      <w:tr w:rsidR="00B83890" w:rsidTr="006E6DC8">
        <w:trPr>
          <w:cantSplit/>
          <w:trHeight w:val="255"/>
        </w:trPr>
        <w:tc>
          <w:tcPr>
            <w:tcW w:w="5984" w:type="dxa"/>
            <w:gridSpan w:val="2"/>
            <w:vAlign w:val="center"/>
          </w:tcPr>
          <w:p w:rsidR="00B83890" w:rsidRDefault="00B83890" w:rsidP="006E6DC8">
            <w:pPr>
              <w:jc w:val="right"/>
              <w:rPr>
                <w:color w:val="000000"/>
                <w:lang w:val="en-GB"/>
              </w:rPr>
            </w:pPr>
          </w:p>
        </w:tc>
        <w:tc>
          <w:tcPr>
            <w:tcW w:w="2268" w:type="dxa"/>
            <w:gridSpan w:val="2"/>
            <w:vAlign w:val="center"/>
          </w:tcPr>
          <w:p w:rsidR="00B83890" w:rsidRDefault="00B83890" w:rsidP="006E6DC8">
            <w:pPr>
              <w:jc w:val="right"/>
              <w:rPr>
                <w:b/>
                <w:lang w:val="en-GB"/>
              </w:rPr>
            </w:pPr>
            <w:r>
              <w:rPr>
                <w:b/>
                <w:lang w:val="en-GB"/>
              </w:rPr>
              <w:t>$’000</w:t>
            </w:r>
          </w:p>
        </w:tc>
        <w:tc>
          <w:tcPr>
            <w:tcW w:w="1276" w:type="dxa"/>
            <w:vAlign w:val="center"/>
          </w:tcPr>
          <w:p w:rsidR="00B83890" w:rsidRDefault="00B83890" w:rsidP="006E6DC8">
            <w:pPr>
              <w:jc w:val="right"/>
              <w:rPr>
                <w:b/>
                <w:lang w:val="en-GB"/>
              </w:rPr>
            </w:pPr>
            <w:r>
              <w:rPr>
                <w:b/>
                <w:lang w:val="en-GB"/>
              </w:rPr>
              <w:t>$’000</w:t>
            </w:r>
          </w:p>
        </w:tc>
      </w:tr>
      <w:tr w:rsidR="00B83890" w:rsidTr="006E6DC8">
        <w:trPr>
          <w:cantSplit/>
          <w:trHeight w:val="255"/>
        </w:trPr>
        <w:tc>
          <w:tcPr>
            <w:tcW w:w="5559" w:type="dxa"/>
            <w:vAlign w:val="center"/>
          </w:tcPr>
          <w:p w:rsidR="00B83890" w:rsidRDefault="00B83890" w:rsidP="009C0D27">
            <w:pPr>
              <w:ind w:left="709"/>
              <w:rPr>
                <w:color w:val="000000"/>
                <w:lang w:val="en-GB"/>
              </w:rPr>
            </w:pPr>
            <w:r>
              <w:rPr>
                <w:color w:val="000000"/>
                <w:lang w:val="en-GB"/>
              </w:rPr>
              <w:t>Victorian Auditor-General’s Office</w:t>
            </w:r>
          </w:p>
        </w:tc>
        <w:tc>
          <w:tcPr>
            <w:tcW w:w="992" w:type="dxa"/>
            <w:gridSpan w:val="2"/>
            <w:vAlign w:val="center"/>
          </w:tcPr>
          <w:p w:rsidR="00B83890" w:rsidRDefault="00B83890" w:rsidP="006E6DC8">
            <w:pPr>
              <w:jc w:val="right"/>
              <w:rPr>
                <w:color w:val="000000"/>
                <w:lang w:val="en-GB"/>
              </w:rPr>
            </w:pPr>
          </w:p>
        </w:tc>
        <w:tc>
          <w:tcPr>
            <w:tcW w:w="1701" w:type="dxa"/>
            <w:vAlign w:val="center"/>
          </w:tcPr>
          <w:p w:rsidR="00B83890" w:rsidRPr="00A74FC0" w:rsidRDefault="00B83890" w:rsidP="006E6DC8">
            <w:pPr>
              <w:jc w:val="right"/>
              <w:rPr>
                <w:b/>
              </w:rPr>
            </w:pPr>
          </w:p>
        </w:tc>
        <w:tc>
          <w:tcPr>
            <w:tcW w:w="1276" w:type="dxa"/>
            <w:vAlign w:val="center"/>
          </w:tcPr>
          <w:p w:rsidR="00B83890" w:rsidRPr="00A74FC0" w:rsidRDefault="00B83890" w:rsidP="006E6DC8">
            <w:pPr>
              <w:jc w:val="right"/>
              <w:rPr>
                <w:b/>
              </w:rPr>
            </w:pPr>
          </w:p>
        </w:tc>
      </w:tr>
      <w:tr w:rsidR="00B83890" w:rsidTr="006E6DC8">
        <w:trPr>
          <w:cantSplit/>
          <w:trHeight w:val="255"/>
        </w:trPr>
        <w:tc>
          <w:tcPr>
            <w:tcW w:w="5559" w:type="dxa"/>
            <w:vAlign w:val="center"/>
          </w:tcPr>
          <w:p w:rsidR="00B83890" w:rsidRDefault="00B83890" w:rsidP="006E6DC8">
            <w:pPr>
              <w:ind w:left="720"/>
              <w:rPr>
                <w:color w:val="000000"/>
                <w:lang w:val="en-GB"/>
              </w:rPr>
            </w:pPr>
            <w:r>
              <w:rPr>
                <w:color w:val="000000"/>
                <w:lang w:val="en-GB"/>
              </w:rPr>
              <w:t>Audit of financial report</w:t>
            </w:r>
          </w:p>
        </w:tc>
        <w:tc>
          <w:tcPr>
            <w:tcW w:w="992" w:type="dxa"/>
            <w:gridSpan w:val="2"/>
            <w:vAlign w:val="center"/>
          </w:tcPr>
          <w:p w:rsidR="00B83890" w:rsidRDefault="00B83890" w:rsidP="006E6DC8">
            <w:pPr>
              <w:jc w:val="right"/>
              <w:rPr>
                <w:color w:val="000000"/>
                <w:lang w:val="en-GB"/>
              </w:rPr>
            </w:pPr>
          </w:p>
        </w:tc>
        <w:tc>
          <w:tcPr>
            <w:tcW w:w="1701" w:type="dxa"/>
            <w:vAlign w:val="center"/>
          </w:tcPr>
          <w:p w:rsidR="00B83890" w:rsidRDefault="00B83890" w:rsidP="006E6DC8">
            <w:pPr>
              <w:jc w:val="right"/>
              <w:rPr>
                <w:color w:val="000000"/>
                <w:lang w:val="en-GB"/>
              </w:rPr>
            </w:pPr>
            <w:r>
              <w:rPr>
                <w:color w:val="000000"/>
                <w:lang w:val="en-GB"/>
              </w:rPr>
              <w:t>52</w:t>
            </w:r>
          </w:p>
        </w:tc>
        <w:tc>
          <w:tcPr>
            <w:tcW w:w="1276" w:type="dxa"/>
            <w:vAlign w:val="center"/>
          </w:tcPr>
          <w:p w:rsidR="00B83890" w:rsidRDefault="00B83890" w:rsidP="006E6DC8">
            <w:pPr>
              <w:jc w:val="right"/>
              <w:rPr>
                <w:color w:val="000000"/>
                <w:lang w:val="en-GB"/>
              </w:rPr>
            </w:pPr>
            <w:r>
              <w:rPr>
                <w:color w:val="000000"/>
                <w:lang w:val="en-GB"/>
              </w:rPr>
              <w:t>50</w:t>
            </w:r>
          </w:p>
        </w:tc>
      </w:tr>
      <w:tr w:rsidR="00B83890" w:rsidTr="006E6DC8">
        <w:trPr>
          <w:cantSplit/>
          <w:trHeight w:val="206"/>
        </w:trPr>
        <w:tc>
          <w:tcPr>
            <w:tcW w:w="5559" w:type="dxa"/>
            <w:tcBorders>
              <w:top w:val="single" w:sz="6" w:space="0" w:color="000000"/>
              <w:bottom w:val="double" w:sz="6" w:space="0" w:color="000000"/>
            </w:tcBorders>
          </w:tcPr>
          <w:p w:rsidR="00B83890" w:rsidRDefault="00B83890" w:rsidP="006E6DC8">
            <w:pPr>
              <w:rPr>
                <w:b/>
                <w:i/>
                <w:color w:val="000000"/>
                <w:lang w:val="en-GB"/>
              </w:rPr>
            </w:pPr>
            <w:r>
              <w:rPr>
                <w:b/>
                <w:color w:val="000000"/>
                <w:lang w:val="en-GB"/>
              </w:rPr>
              <w:t>TOTAL</w:t>
            </w:r>
          </w:p>
        </w:tc>
        <w:tc>
          <w:tcPr>
            <w:tcW w:w="992" w:type="dxa"/>
            <w:gridSpan w:val="2"/>
            <w:tcBorders>
              <w:top w:val="single" w:sz="6" w:space="0" w:color="000000"/>
              <w:bottom w:val="double" w:sz="6" w:space="0" w:color="000000"/>
            </w:tcBorders>
          </w:tcPr>
          <w:p w:rsidR="00B83890" w:rsidRDefault="00B83890" w:rsidP="006E6DC8">
            <w:pPr>
              <w:jc w:val="right"/>
              <w:rPr>
                <w:color w:val="000000"/>
                <w:lang w:val="en-GB"/>
              </w:rPr>
            </w:pPr>
          </w:p>
        </w:tc>
        <w:tc>
          <w:tcPr>
            <w:tcW w:w="1701" w:type="dxa"/>
            <w:tcBorders>
              <w:top w:val="single" w:sz="6" w:space="0" w:color="000000"/>
              <w:bottom w:val="double" w:sz="6" w:space="0" w:color="000000"/>
            </w:tcBorders>
          </w:tcPr>
          <w:p w:rsidR="00B83890" w:rsidRDefault="00B83890" w:rsidP="006E6DC8">
            <w:pPr>
              <w:jc w:val="right"/>
              <w:rPr>
                <w:b/>
                <w:color w:val="000000"/>
                <w:lang w:val="en-GB"/>
              </w:rPr>
            </w:pPr>
            <w:r>
              <w:rPr>
                <w:b/>
                <w:color w:val="000000"/>
                <w:lang w:val="en-GB"/>
              </w:rPr>
              <w:t>52</w:t>
            </w:r>
          </w:p>
        </w:tc>
        <w:tc>
          <w:tcPr>
            <w:tcW w:w="1276" w:type="dxa"/>
            <w:tcBorders>
              <w:top w:val="single" w:sz="6" w:space="0" w:color="000000"/>
              <w:bottom w:val="double" w:sz="6" w:space="0" w:color="000000"/>
            </w:tcBorders>
          </w:tcPr>
          <w:p w:rsidR="00B83890" w:rsidRDefault="00B83890" w:rsidP="006E6DC8">
            <w:pPr>
              <w:jc w:val="right"/>
              <w:rPr>
                <w:b/>
                <w:color w:val="000000"/>
                <w:lang w:val="en-GB"/>
              </w:rPr>
            </w:pPr>
            <w:r>
              <w:rPr>
                <w:b/>
                <w:color w:val="000000"/>
                <w:lang w:val="en-GB"/>
              </w:rPr>
              <w:t>50</w:t>
            </w:r>
          </w:p>
        </w:tc>
      </w:tr>
    </w:tbl>
    <w:p w:rsidR="00B83890" w:rsidRDefault="00B83890" w:rsidP="00B83890">
      <w:pPr>
        <w:rPr>
          <w:b/>
          <w:color w:val="FF0000"/>
          <w:sz w:val="24"/>
          <w:szCs w:val="24"/>
        </w:rPr>
      </w:pPr>
    </w:p>
    <w:p w:rsidR="00B83890" w:rsidRDefault="00B83890" w:rsidP="00B83890">
      <w:pPr>
        <w:rPr>
          <w:color w:val="FF0000"/>
          <w:sz w:val="24"/>
          <w:szCs w:val="24"/>
        </w:rPr>
      </w:pPr>
    </w:p>
    <w:p w:rsidR="00B83890" w:rsidRDefault="00B83890" w:rsidP="00B83890">
      <w:pPr>
        <w:keepNext w:val="0"/>
        <w:outlineLvl w:val="9"/>
        <w:rPr>
          <w:b/>
          <w:sz w:val="32"/>
          <w:szCs w:val="32"/>
        </w:rPr>
      </w:pPr>
      <w:r>
        <w:rPr>
          <w:b/>
          <w:sz w:val="32"/>
          <w:szCs w:val="32"/>
        </w:rPr>
        <w:br w:type="page"/>
      </w:r>
    </w:p>
    <w:p w:rsidR="00B83890" w:rsidRDefault="00B83890" w:rsidP="00B83890">
      <w:pPr>
        <w:pStyle w:val="Heading2"/>
      </w:pPr>
      <w:r>
        <w:lastRenderedPageBreak/>
        <w:t>Victorian Auditor-General’s Report</w:t>
      </w:r>
    </w:p>
    <w:p w:rsidR="00B83890" w:rsidRDefault="00B83890" w:rsidP="00B83890">
      <w:pPr>
        <w:keepNext w:val="0"/>
        <w:outlineLvl w:val="9"/>
        <w:rPr>
          <w:b/>
          <w:sz w:val="32"/>
          <w:szCs w:val="32"/>
        </w:rPr>
      </w:pPr>
    </w:p>
    <w:p w:rsidR="00B83890" w:rsidRDefault="00B83890" w:rsidP="00B83890">
      <w:pPr>
        <w:keepNext w:val="0"/>
        <w:outlineLvl w:val="9"/>
        <w:rPr>
          <w:b/>
          <w:sz w:val="32"/>
          <w:szCs w:val="32"/>
        </w:rPr>
      </w:pPr>
      <w:r>
        <w:rPr>
          <w:b/>
          <w:noProof/>
          <w:sz w:val="32"/>
          <w:szCs w:val="32"/>
        </w:rPr>
        <w:drawing>
          <wp:inline distT="0" distB="0" distL="0" distR="0" wp14:anchorId="0E6EA823" wp14:editId="46350A60">
            <wp:extent cx="5274310" cy="7517639"/>
            <wp:effectExtent l="0" t="0" r="2540" b="7620"/>
            <wp:docPr id="7" name="Picture 7" descr="This object shows page one of the Auditor General's report." title="Victorian Auditor-General'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274310" cy="7517639"/>
                    </a:xfrm>
                    <a:prstGeom prst="rect">
                      <a:avLst/>
                    </a:prstGeom>
                    <a:noFill/>
                    <a:ln w="9525">
                      <a:noFill/>
                      <a:miter lim="800000"/>
                      <a:headEnd/>
                      <a:tailEnd/>
                    </a:ln>
                  </pic:spPr>
                </pic:pic>
              </a:graphicData>
            </a:graphic>
          </wp:inline>
        </w:drawing>
      </w:r>
    </w:p>
    <w:p w:rsidR="00B83890" w:rsidRDefault="00B83890" w:rsidP="00B83890">
      <w:pPr>
        <w:keepNext w:val="0"/>
        <w:outlineLvl w:val="9"/>
        <w:rPr>
          <w:b/>
          <w:sz w:val="32"/>
          <w:szCs w:val="32"/>
        </w:rPr>
      </w:pPr>
    </w:p>
    <w:p w:rsidR="00B83890" w:rsidRPr="008257C8" w:rsidRDefault="00B83890" w:rsidP="00B83890">
      <w:pPr>
        <w:keepNext w:val="0"/>
        <w:outlineLvl w:val="9"/>
        <w:rPr>
          <w:b/>
          <w:sz w:val="32"/>
          <w:szCs w:val="32"/>
        </w:rPr>
      </w:pPr>
      <w:r>
        <w:rPr>
          <w:b/>
          <w:noProof/>
          <w:sz w:val="32"/>
          <w:szCs w:val="32"/>
        </w:rPr>
        <w:lastRenderedPageBreak/>
        <w:drawing>
          <wp:inline distT="0" distB="0" distL="0" distR="0" wp14:anchorId="6373126E" wp14:editId="5096DF46">
            <wp:extent cx="5274310" cy="7568058"/>
            <wp:effectExtent l="0" t="0" r="2540" b="0"/>
            <wp:docPr id="10" name="Picture 10" descr="This object shows page two of the Auditor General's report." title="Victorian Auditor-General'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5274310" cy="7568058"/>
                    </a:xfrm>
                    <a:prstGeom prst="rect">
                      <a:avLst/>
                    </a:prstGeom>
                    <a:noFill/>
                    <a:ln w="9525">
                      <a:noFill/>
                      <a:miter lim="800000"/>
                      <a:headEnd/>
                      <a:tailEnd/>
                    </a:ln>
                  </pic:spPr>
                </pic:pic>
              </a:graphicData>
            </a:graphic>
          </wp:inline>
        </w:drawing>
      </w:r>
    </w:p>
    <w:p w:rsidR="00B83890" w:rsidRDefault="00B83890" w:rsidP="00B83890"/>
    <w:p w:rsidR="00B83890" w:rsidRDefault="00B83890" w:rsidP="00B83890">
      <w:pPr>
        <w:keepNext w:val="0"/>
        <w:outlineLvl w:val="9"/>
        <w:rPr>
          <w:b/>
          <w:sz w:val="40"/>
        </w:rPr>
      </w:pPr>
      <w:r>
        <w:br w:type="page"/>
      </w:r>
    </w:p>
    <w:p w:rsidR="00B83890" w:rsidRDefault="00B83890" w:rsidP="00B83890">
      <w:pPr>
        <w:pStyle w:val="Heading1"/>
      </w:pPr>
      <w:r w:rsidRPr="00012B62">
        <w:lastRenderedPageBreak/>
        <w:t>Statutory Reports</w:t>
      </w:r>
    </w:p>
    <w:p w:rsidR="00B83890" w:rsidRDefault="00B83890" w:rsidP="00B83890">
      <w:pPr>
        <w:pStyle w:val="Heading3"/>
      </w:pPr>
    </w:p>
    <w:p w:rsidR="00B83890" w:rsidRDefault="00B83890" w:rsidP="00B83890">
      <w:pPr>
        <w:pStyle w:val="Heading2"/>
      </w:pPr>
      <w:r w:rsidRPr="001546EF">
        <w:t>Freedom of Information</w:t>
      </w:r>
    </w:p>
    <w:p w:rsidR="00B83890" w:rsidRPr="002616B7" w:rsidRDefault="00B83890" w:rsidP="00B83890">
      <w:r w:rsidRPr="002616B7">
        <w:t xml:space="preserve">The </w:t>
      </w:r>
      <w:r w:rsidRPr="002616B7">
        <w:rPr>
          <w:i/>
        </w:rPr>
        <w:t>Freedom of Information Act 1982</w:t>
      </w:r>
      <w:r w:rsidRPr="002616B7">
        <w:t xml:space="preserve"> entitles members of the public to obtain information, other than information that is exempt under the Act, held by Museum Victoria. For the 12 months ending 30 June 201</w:t>
      </w:r>
      <w:r>
        <w:t>3</w:t>
      </w:r>
      <w:r w:rsidRPr="002616B7">
        <w:t xml:space="preserve">, </w:t>
      </w:r>
      <w:r w:rsidRPr="00D64A93">
        <w:rPr>
          <w:szCs w:val="20"/>
        </w:rPr>
        <w:t xml:space="preserve">Museum Victoria received </w:t>
      </w:r>
      <w:r>
        <w:rPr>
          <w:szCs w:val="20"/>
        </w:rPr>
        <w:t>two</w:t>
      </w:r>
      <w:r w:rsidRPr="00D64A93">
        <w:rPr>
          <w:szCs w:val="20"/>
        </w:rPr>
        <w:t xml:space="preserve"> requests</w:t>
      </w:r>
      <w:r>
        <w:rPr>
          <w:szCs w:val="20"/>
        </w:rPr>
        <w:t>. O</w:t>
      </w:r>
      <w:r w:rsidRPr="00D64A93">
        <w:rPr>
          <w:szCs w:val="20"/>
        </w:rPr>
        <w:t xml:space="preserve">ne request lapsed due to the </w:t>
      </w:r>
      <w:r>
        <w:rPr>
          <w:szCs w:val="20"/>
        </w:rPr>
        <w:t>a</w:t>
      </w:r>
      <w:r w:rsidRPr="00D64A93">
        <w:rPr>
          <w:szCs w:val="20"/>
        </w:rPr>
        <w:t xml:space="preserve">pplicant deciding not to pursue access to the documents </w:t>
      </w:r>
      <w:r>
        <w:rPr>
          <w:szCs w:val="20"/>
        </w:rPr>
        <w:t>and</w:t>
      </w:r>
      <w:r w:rsidRPr="00D64A93">
        <w:rPr>
          <w:szCs w:val="20"/>
        </w:rPr>
        <w:t xml:space="preserve"> the other request </w:t>
      </w:r>
      <w:r>
        <w:rPr>
          <w:szCs w:val="20"/>
        </w:rPr>
        <w:t xml:space="preserve">was completed. </w:t>
      </w:r>
      <w:r w:rsidRPr="00D64A93">
        <w:rPr>
          <w:szCs w:val="20"/>
        </w:rPr>
        <w:t xml:space="preserve">Museum Victoria continued to process </w:t>
      </w:r>
      <w:r>
        <w:rPr>
          <w:szCs w:val="20"/>
        </w:rPr>
        <w:t>two</w:t>
      </w:r>
      <w:r w:rsidRPr="00D64A93">
        <w:rPr>
          <w:szCs w:val="20"/>
        </w:rPr>
        <w:t xml:space="preserve"> requests received </w:t>
      </w:r>
      <w:r>
        <w:rPr>
          <w:szCs w:val="20"/>
        </w:rPr>
        <w:t>in</w:t>
      </w:r>
      <w:r w:rsidRPr="00D64A93">
        <w:rPr>
          <w:szCs w:val="20"/>
        </w:rPr>
        <w:t xml:space="preserve"> the </w:t>
      </w:r>
      <w:r>
        <w:rPr>
          <w:szCs w:val="20"/>
        </w:rPr>
        <w:t>previous</w:t>
      </w:r>
      <w:r w:rsidRPr="00D64A93">
        <w:rPr>
          <w:szCs w:val="20"/>
        </w:rPr>
        <w:t xml:space="preserve"> financial year. One of these requests was processed whil</w:t>
      </w:r>
      <w:r>
        <w:rPr>
          <w:szCs w:val="20"/>
        </w:rPr>
        <w:t>e</w:t>
      </w:r>
      <w:r w:rsidRPr="00D64A93">
        <w:rPr>
          <w:szCs w:val="20"/>
        </w:rPr>
        <w:t xml:space="preserve"> the other lapsed.</w:t>
      </w:r>
    </w:p>
    <w:p w:rsidR="00B83890" w:rsidRPr="002616B7" w:rsidRDefault="00B83890" w:rsidP="00B83890"/>
    <w:p w:rsidR="00B83890" w:rsidRDefault="00B83890" w:rsidP="00B83890">
      <w:r w:rsidRPr="005904AB">
        <w:t xml:space="preserve">The information below is required to be published annually under Part II of the </w:t>
      </w:r>
      <w:r w:rsidRPr="005904AB">
        <w:rPr>
          <w:i/>
        </w:rPr>
        <w:t>Freedom of Information Act 1982</w:t>
      </w:r>
      <w:r w:rsidRPr="005904AB">
        <w:t>. The information required to be published under section 7(1)(a)(i) is located elsewhere in this annual report.</w:t>
      </w:r>
    </w:p>
    <w:p w:rsidR="00B83890" w:rsidRDefault="00B83890" w:rsidP="00B83890"/>
    <w:p w:rsidR="00B83890" w:rsidRDefault="00B83890" w:rsidP="00B83890">
      <w:pPr>
        <w:pStyle w:val="Heading4"/>
      </w:pPr>
      <w:r w:rsidRPr="0095025E">
        <w:t>Contacts</w:t>
      </w:r>
    </w:p>
    <w:p w:rsidR="00B83890" w:rsidRPr="00CE5CB1" w:rsidRDefault="00B83890" w:rsidP="00521470">
      <w:r w:rsidRPr="00CE5CB1">
        <w:t>Principal Officer: Dr J. Patrick Greene (Chief Executive Officer)</w:t>
      </w:r>
    </w:p>
    <w:p w:rsidR="00B83890" w:rsidRPr="00CE5CB1" w:rsidRDefault="00B83890" w:rsidP="00521470">
      <w:r w:rsidRPr="00CE5CB1">
        <w:t>Freedom of Information Officer: Manager, Information Services</w:t>
      </w:r>
    </w:p>
    <w:p w:rsidR="00B83890" w:rsidRPr="00CE5CB1" w:rsidRDefault="00B83890" w:rsidP="00521470">
      <w:r w:rsidRPr="00CE5CB1">
        <w:t xml:space="preserve">Address: GPO Box 666, Melbourne </w:t>
      </w:r>
      <w:r w:rsidRPr="00CE5CB1">
        <w:rPr>
          <w:rFonts w:cs="Arial"/>
        </w:rPr>
        <w:t>VIC.</w:t>
      </w:r>
      <w:r w:rsidRPr="00CE5CB1">
        <w:t xml:space="preserve"> 3001</w:t>
      </w:r>
    </w:p>
    <w:p w:rsidR="00B83890" w:rsidRPr="00CE5CB1" w:rsidRDefault="00B83890" w:rsidP="00521470">
      <w:r w:rsidRPr="00CE5CB1">
        <w:t>Telephone: (03) 8341 7109</w:t>
      </w:r>
    </w:p>
    <w:p w:rsidR="00B83890" w:rsidRPr="00CE5CB1" w:rsidRDefault="00B83890" w:rsidP="00521470">
      <w:r w:rsidRPr="00CE5CB1">
        <w:t>Fax: (03) 8341 7299</w:t>
      </w:r>
    </w:p>
    <w:p w:rsidR="00B83890" w:rsidRPr="00CE5CB1" w:rsidRDefault="00B83890" w:rsidP="00521470">
      <w:r w:rsidRPr="00CE5CB1">
        <w:t xml:space="preserve">Email: </w:t>
      </w:r>
      <w:hyperlink r:id="rId15" w:history="1">
        <w:r w:rsidRPr="00CE5CB1">
          <w:rPr>
            <w:color w:val="0000FF"/>
            <w:u w:val="single"/>
          </w:rPr>
          <w:t>foi@museum.vic.gov.au</w:t>
        </w:r>
      </w:hyperlink>
    </w:p>
    <w:p w:rsidR="00B83890" w:rsidRDefault="00B83890" w:rsidP="00521470"/>
    <w:p w:rsidR="00B83890" w:rsidRPr="00521470" w:rsidRDefault="00B83890" w:rsidP="00521470">
      <w:pPr>
        <w:pStyle w:val="Heading3"/>
      </w:pPr>
      <w:r w:rsidRPr="00521470">
        <w:t>Categories of Documents</w:t>
      </w:r>
    </w:p>
    <w:p w:rsidR="00B83890" w:rsidRDefault="00B83890" w:rsidP="00B83890">
      <w:r w:rsidRPr="00CE5CB1">
        <w:t>Documents maintained in the possession of Museum Victoria include:</w:t>
      </w:r>
    </w:p>
    <w:p w:rsidR="00B83890" w:rsidRDefault="00B83890" w:rsidP="00C14C5D">
      <w:pPr>
        <w:pStyle w:val="ListParagraph"/>
        <w:numPr>
          <w:ilvl w:val="0"/>
          <w:numId w:val="7"/>
        </w:numPr>
      </w:pPr>
      <w:r w:rsidRPr="00CE5CB1">
        <w:t>records pertaining to our buildings and other assets</w:t>
      </w:r>
    </w:p>
    <w:p w:rsidR="00B83890" w:rsidRDefault="00B83890" w:rsidP="00C14C5D">
      <w:pPr>
        <w:pStyle w:val="ListParagraph"/>
        <w:numPr>
          <w:ilvl w:val="0"/>
          <w:numId w:val="7"/>
        </w:numPr>
      </w:pPr>
      <w:r w:rsidRPr="00CE5CB1">
        <w:t>records pertaining to objects in the Museum Victoria collection</w:t>
      </w:r>
    </w:p>
    <w:p w:rsidR="00B83890" w:rsidRDefault="00B83890" w:rsidP="00C14C5D">
      <w:pPr>
        <w:pStyle w:val="ListParagraph"/>
        <w:numPr>
          <w:ilvl w:val="0"/>
          <w:numId w:val="7"/>
        </w:numPr>
      </w:pPr>
      <w:r w:rsidRPr="00CE5CB1">
        <w:t>Museum Victoria policies and procedures</w:t>
      </w:r>
    </w:p>
    <w:p w:rsidR="00B83890" w:rsidRDefault="00B83890" w:rsidP="00C14C5D">
      <w:pPr>
        <w:pStyle w:val="ListParagraph"/>
        <w:numPr>
          <w:ilvl w:val="0"/>
          <w:numId w:val="7"/>
        </w:numPr>
      </w:pPr>
      <w:r w:rsidRPr="00CE5CB1">
        <w:t>records of divisional operations</w:t>
      </w:r>
    </w:p>
    <w:p w:rsidR="00B83890" w:rsidRDefault="00B83890" w:rsidP="00C14C5D">
      <w:pPr>
        <w:pStyle w:val="ListParagraph"/>
        <w:numPr>
          <w:ilvl w:val="0"/>
          <w:numId w:val="7"/>
        </w:numPr>
      </w:pPr>
      <w:r w:rsidRPr="00CE5CB1">
        <w:t>records of Museums Board of Victoria meetings</w:t>
      </w:r>
    </w:p>
    <w:p w:rsidR="00B83890" w:rsidRDefault="00B83890" w:rsidP="00C14C5D">
      <w:pPr>
        <w:pStyle w:val="ListParagraph"/>
        <w:numPr>
          <w:ilvl w:val="0"/>
          <w:numId w:val="7"/>
        </w:numPr>
      </w:pPr>
      <w:r w:rsidRPr="00CE5CB1">
        <w:t>finance and accounting records</w:t>
      </w:r>
    </w:p>
    <w:p w:rsidR="00B83890" w:rsidRDefault="00B83890" w:rsidP="00C14C5D">
      <w:pPr>
        <w:pStyle w:val="ListParagraph"/>
        <w:numPr>
          <w:ilvl w:val="0"/>
          <w:numId w:val="7"/>
        </w:numPr>
      </w:pPr>
      <w:r w:rsidRPr="00CE5CB1">
        <w:t>volunteer records</w:t>
      </w:r>
    </w:p>
    <w:p w:rsidR="00B83890" w:rsidRDefault="00B83890" w:rsidP="00C14C5D">
      <w:pPr>
        <w:pStyle w:val="ListParagraph"/>
        <w:numPr>
          <w:ilvl w:val="0"/>
          <w:numId w:val="7"/>
        </w:numPr>
      </w:pPr>
      <w:r w:rsidRPr="00CE5CB1">
        <w:t>personnel and salary records</w:t>
      </w:r>
    </w:p>
    <w:p w:rsidR="00B83890" w:rsidRDefault="00B83890" w:rsidP="00C14C5D">
      <w:pPr>
        <w:pStyle w:val="ListParagraph"/>
        <w:numPr>
          <w:ilvl w:val="0"/>
          <w:numId w:val="7"/>
        </w:numPr>
      </w:pPr>
      <w:r w:rsidRPr="00CE5CB1">
        <w:t>Board member records</w:t>
      </w:r>
    </w:p>
    <w:p w:rsidR="00B83890" w:rsidRDefault="00B83890" w:rsidP="00C14C5D">
      <w:pPr>
        <w:pStyle w:val="ListParagraph"/>
        <w:numPr>
          <w:ilvl w:val="0"/>
          <w:numId w:val="7"/>
        </w:numPr>
      </w:pPr>
      <w:r w:rsidRPr="00CE5CB1">
        <w:t>Museum Victoria member records.</w:t>
      </w:r>
    </w:p>
    <w:p w:rsidR="00B83890" w:rsidRDefault="00B83890" w:rsidP="00B83890"/>
    <w:p w:rsidR="00B83890" w:rsidRDefault="00B83890" w:rsidP="00B83890">
      <w:pPr>
        <w:pStyle w:val="Heading3"/>
      </w:pPr>
      <w:r w:rsidRPr="00CE5CB1">
        <w:t>Requests for Access to Documents</w:t>
      </w:r>
    </w:p>
    <w:p w:rsidR="00B83890" w:rsidRDefault="00B83890" w:rsidP="00B83890">
      <w:r w:rsidRPr="00CE5CB1">
        <w:t>Access to documents (as defined in section 5 of the Act) may only be obtained through a written request to the Freedom of Information Officer; a fax is sufficient. Each request should be accompanied by a $2</w:t>
      </w:r>
      <w:r>
        <w:t>5.70</w:t>
      </w:r>
      <w:r w:rsidRPr="00CE5CB1">
        <w:t xml:space="preserve"> application fee. An applicant may request photocopies of documents or inspection of specific documents at Museum Victoria, or else other access arrangements as may be appropriate to the application.</w:t>
      </w:r>
    </w:p>
    <w:p w:rsidR="00B83890" w:rsidRDefault="00B83890" w:rsidP="00B83890"/>
    <w:p w:rsidR="00B83890" w:rsidRDefault="00B83890" w:rsidP="00B83890">
      <w:r w:rsidRPr="00CE5CB1">
        <w:t>Applications should be as specific as possible to enable Museum Victoria to identify the documents sought. Where a request does not sufficiently identify the documents, the applicant will be advised and provided with an opportunity to consult with Museum Victoria in order to redefine the request.</w:t>
      </w:r>
    </w:p>
    <w:p w:rsidR="00B83890" w:rsidRDefault="00B83890" w:rsidP="00B83890"/>
    <w:p w:rsidR="00B83890" w:rsidRDefault="00B83890" w:rsidP="00B83890">
      <w:r w:rsidRPr="00CE5CB1">
        <w:t>Section 21 of the Act requires that all reasonable steps be taken to notify the applicant of the decision concerning the release of documents as soon as practicable. It must be no later than 45 days after the date on which the request was received.</w:t>
      </w:r>
    </w:p>
    <w:p w:rsidR="00B83890" w:rsidRDefault="00B83890" w:rsidP="00B83890"/>
    <w:p w:rsidR="00B83890" w:rsidRDefault="00B83890" w:rsidP="00B83890">
      <w:pPr>
        <w:pStyle w:val="Heading3"/>
      </w:pPr>
      <w:r w:rsidRPr="00CE5CB1">
        <w:lastRenderedPageBreak/>
        <w:t>Charges Under the Act</w:t>
      </w:r>
    </w:p>
    <w:p w:rsidR="00B83890" w:rsidRDefault="00B83890" w:rsidP="00B83890">
      <w:r w:rsidRPr="00CE5CB1">
        <w:t>Section 22 of the Act outlines the principles for the levy to be paid by an applicant before access to a document is given, and for the waiver of charges. The current application fee is $2</w:t>
      </w:r>
      <w:r>
        <w:t>5.7</w:t>
      </w:r>
      <w:r w:rsidRPr="00CE5CB1">
        <w:t>0. Further charges may be levied for photocopying</w:t>
      </w:r>
      <w:r>
        <w:t xml:space="preserve"> and</w:t>
      </w:r>
      <w:r w:rsidRPr="00CE5CB1">
        <w:t xml:space="preserve"> searching </w:t>
      </w:r>
      <w:r>
        <w:t xml:space="preserve">for documents, </w:t>
      </w:r>
      <w:r w:rsidRPr="00CE5CB1">
        <w:t>or for supervising access. Some charges may be waived in certain circumstances.</w:t>
      </w:r>
    </w:p>
    <w:p w:rsidR="00B83890" w:rsidRDefault="00B83890" w:rsidP="00B83890">
      <w:pPr>
        <w:rPr>
          <w:b/>
          <w:sz w:val="24"/>
        </w:rPr>
      </w:pPr>
    </w:p>
    <w:p w:rsidR="00B83890" w:rsidRPr="00617D18" w:rsidRDefault="00B83890" w:rsidP="00B83890">
      <w:pPr>
        <w:pStyle w:val="Heading3"/>
      </w:pPr>
      <w:r>
        <w:t>Appointment of the F</w:t>
      </w:r>
      <w:r w:rsidRPr="00617D18">
        <w:t>irst F</w:t>
      </w:r>
      <w:r>
        <w:t xml:space="preserve">reedom of Information </w:t>
      </w:r>
      <w:r w:rsidRPr="00617D18">
        <w:t>Commis</w:t>
      </w:r>
      <w:r>
        <w:t>s</w:t>
      </w:r>
      <w:r w:rsidRPr="00617D18">
        <w:t>ioner</w:t>
      </w:r>
    </w:p>
    <w:p w:rsidR="00B83890" w:rsidRDefault="00B83890" w:rsidP="00B83890">
      <w:r>
        <w:t xml:space="preserve">The FOI Commissioner will now take the role of reviewing decisions made by agencies at the request of applicants. If an applicant wishes to lodge a review it must be made to the Freedom of Information Commissioner within 28 days of receiving the decision letter from the Freedom of Information Officer. </w:t>
      </w:r>
    </w:p>
    <w:p w:rsidR="00B83890" w:rsidRDefault="00B83890" w:rsidP="00B83890"/>
    <w:p w:rsidR="00B83890" w:rsidRDefault="00B83890" w:rsidP="00B83890">
      <w:pPr>
        <w:pStyle w:val="Heading3"/>
      </w:pPr>
      <w:r w:rsidRPr="00CE5CB1">
        <w:t>Literature Available by Subscription or Free Mailing Lists</w:t>
      </w:r>
    </w:p>
    <w:p w:rsidR="00B83890" w:rsidRPr="00CE5CB1" w:rsidRDefault="00B83890" w:rsidP="00B83890">
      <w:r w:rsidRPr="00CE5CB1">
        <w:t>Museum Victoria maintains the following subscription services and free mailing lists:</w:t>
      </w:r>
    </w:p>
    <w:p w:rsidR="00B83890" w:rsidRPr="002616B7" w:rsidRDefault="00B83890" w:rsidP="00C14C5D">
      <w:pPr>
        <w:numPr>
          <w:ilvl w:val="0"/>
          <w:numId w:val="8"/>
        </w:numPr>
        <w:contextualSpacing/>
      </w:pPr>
      <w:r w:rsidRPr="002616B7">
        <w:rPr>
          <w:i/>
        </w:rPr>
        <w:t>Six Months</w:t>
      </w:r>
      <w:r w:rsidRPr="002616B7">
        <w:t xml:space="preserve"> Museum Victoria magazine</w:t>
      </w:r>
    </w:p>
    <w:p w:rsidR="00B83890" w:rsidRPr="002616B7" w:rsidRDefault="00B83890" w:rsidP="00C14C5D">
      <w:pPr>
        <w:numPr>
          <w:ilvl w:val="0"/>
          <w:numId w:val="8"/>
        </w:numPr>
        <w:contextualSpacing/>
        <w:rPr>
          <w:i/>
        </w:rPr>
      </w:pPr>
      <w:r w:rsidRPr="002616B7">
        <w:rPr>
          <w:i/>
        </w:rPr>
        <w:t>Memoirs of Museum Victoria</w:t>
      </w:r>
    </w:p>
    <w:p w:rsidR="00B83890" w:rsidRPr="002616B7" w:rsidRDefault="00B83890" w:rsidP="00C14C5D">
      <w:pPr>
        <w:numPr>
          <w:ilvl w:val="0"/>
          <w:numId w:val="8"/>
        </w:numPr>
        <w:contextualSpacing/>
        <w:rPr>
          <w:i/>
        </w:rPr>
      </w:pPr>
      <w:r w:rsidRPr="002616B7">
        <w:rPr>
          <w:i/>
        </w:rPr>
        <w:t>Play and Folklore</w:t>
      </w:r>
    </w:p>
    <w:p w:rsidR="00B83890" w:rsidRPr="002616B7" w:rsidRDefault="00B83890" w:rsidP="00C14C5D">
      <w:pPr>
        <w:numPr>
          <w:ilvl w:val="0"/>
          <w:numId w:val="8"/>
        </w:numPr>
        <w:contextualSpacing/>
      </w:pPr>
      <w:r w:rsidRPr="002616B7">
        <w:rPr>
          <w:i/>
        </w:rPr>
        <w:t>MVTeachers</w:t>
      </w:r>
      <w:r w:rsidRPr="002616B7">
        <w:t xml:space="preserve"> e-newsletter</w:t>
      </w:r>
    </w:p>
    <w:p w:rsidR="00B83890" w:rsidRPr="002616B7" w:rsidRDefault="00B83890" w:rsidP="00C14C5D">
      <w:pPr>
        <w:numPr>
          <w:ilvl w:val="0"/>
          <w:numId w:val="8"/>
        </w:numPr>
        <w:contextualSpacing/>
      </w:pPr>
      <w:r w:rsidRPr="002616B7">
        <w:t>Volunteer Program email bulletin</w:t>
      </w:r>
    </w:p>
    <w:p w:rsidR="00B83890" w:rsidRPr="002616B7" w:rsidRDefault="00B83890" w:rsidP="00C14C5D">
      <w:pPr>
        <w:numPr>
          <w:ilvl w:val="0"/>
          <w:numId w:val="8"/>
        </w:numPr>
        <w:contextualSpacing/>
      </w:pPr>
      <w:r w:rsidRPr="002616B7">
        <w:t>MV Members e-newsletter</w:t>
      </w:r>
    </w:p>
    <w:p w:rsidR="00B83890" w:rsidRPr="002616B7" w:rsidRDefault="00B83890" w:rsidP="00C14C5D">
      <w:pPr>
        <w:numPr>
          <w:ilvl w:val="0"/>
          <w:numId w:val="8"/>
        </w:numPr>
        <w:contextualSpacing/>
      </w:pPr>
      <w:r w:rsidRPr="002616B7">
        <w:t xml:space="preserve">Museum Victoria </w:t>
      </w:r>
      <w:r w:rsidRPr="002616B7">
        <w:rPr>
          <w:i/>
        </w:rPr>
        <w:t>What’s On</w:t>
      </w:r>
      <w:r w:rsidRPr="002616B7">
        <w:t xml:space="preserve"> brochure</w:t>
      </w:r>
    </w:p>
    <w:p w:rsidR="00B83890" w:rsidRPr="002616B7" w:rsidRDefault="00B83890" w:rsidP="00C14C5D">
      <w:pPr>
        <w:numPr>
          <w:ilvl w:val="0"/>
          <w:numId w:val="8"/>
        </w:numPr>
        <w:contextualSpacing/>
      </w:pPr>
      <w:r w:rsidRPr="002616B7">
        <w:t>Museum Victoria e-news</w:t>
      </w:r>
    </w:p>
    <w:p w:rsidR="00B83890" w:rsidRPr="002616B7" w:rsidRDefault="00B83890" w:rsidP="00C14C5D">
      <w:pPr>
        <w:numPr>
          <w:ilvl w:val="0"/>
          <w:numId w:val="8"/>
        </w:numPr>
        <w:contextualSpacing/>
      </w:pPr>
      <w:r>
        <w:t>Museum Victoria Media News</w:t>
      </w:r>
    </w:p>
    <w:p w:rsidR="00B83890" w:rsidRPr="008002A7" w:rsidRDefault="00B83890" w:rsidP="00C14C5D">
      <w:pPr>
        <w:numPr>
          <w:ilvl w:val="0"/>
          <w:numId w:val="8"/>
        </w:numPr>
        <w:contextualSpacing/>
      </w:pPr>
      <w:r w:rsidRPr="002616B7">
        <w:t>IMAX</w:t>
      </w:r>
      <w:r>
        <w:t xml:space="preserve"> Big News</w:t>
      </w:r>
    </w:p>
    <w:p w:rsidR="00B83890" w:rsidRPr="002616B7" w:rsidRDefault="00B83890" w:rsidP="00C14C5D">
      <w:pPr>
        <w:numPr>
          <w:ilvl w:val="0"/>
          <w:numId w:val="8"/>
        </w:numPr>
        <w:contextualSpacing/>
      </w:pPr>
      <w:r>
        <w:t>Skynotes.</w:t>
      </w:r>
    </w:p>
    <w:p w:rsidR="00B83890" w:rsidRPr="00CE5CB1" w:rsidRDefault="00B83890" w:rsidP="00B83890"/>
    <w:p w:rsidR="00B83890" w:rsidRDefault="00B83890" w:rsidP="00B83890">
      <w:pPr>
        <w:pStyle w:val="Heading3"/>
      </w:pPr>
      <w:r w:rsidRPr="00CE5CB1">
        <w:t>Availability of Additional Information</w:t>
      </w:r>
    </w:p>
    <w:p w:rsidR="00B83890" w:rsidRDefault="00B83890" w:rsidP="00B83890">
      <w:pPr>
        <w:rPr>
          <w:snapToGrid w:val="0"/>
          <w:lang w:eastAsia="en-US"/>
        </w:rPr>
      </w:pPr>
      <w:r w:rsidRPr="00CE5CB1">
        <w:rPr>
          <w:snapToGrid w:val="0"/>
          <w:lang w:eastAsia="en-US"/>
        </w:rPr>
        <w:t>The following information relating to Museum Victoria</w:t>
      </w:r>
      <w:r>
        <w:rPr>
          <w:snapToGrid w:val="0"/>
          <w:lang w:eastAsia="en-US"/>
        </w:rPr>
        <w:t xml:space="preserve"> and</w:t>
      </w:r>
      <w:r w:rsidRPr="00CE5CB1">
        <w:rPr>
          <w:snapToGrid w:val="0"/>
          <w:lang w:eastAsia="en-US"/>
        </w:rPr>
        <w:t xml:space="preserve"> relevant to the financial year is available to the Minister, members of parliament and the public on request:</w:t>
      </w:r>
    </w:p>
    <w:p w:rsidR="00B83890" w:rsidRDefault="00B83890" w:rsidP="00C14C5D">
      <w:pPr>
        <w:pStyle w:val="ListParagraph"/>
        <w:numPr>
          <w:ilvl w:val="0"/>
          <w:numId w:val="9"/>
        </w:numPr>
      </w:pPr>
      <w:r w:rsidRPr="00CE5CB1">
        <w:t>a statement that declarations of pecuniary interests have been duly completed by all relevant officers</w:t>
      </w:r>
    </w:p>
    <w:p w:rsidR="00B83890" w:rsidRDefault="00B83890" w:rsidP="00C14C5D">
      <w:pPr>
        <w:pStyle w:val="ListParagraph"/>
        <w:numPr>
          <w:ilvl w:val="0"/>
          <w:numId w:val="9"/>
        </w:numPr>
      </w:pPr>
      <w:r w:rsidRPr="00CE5CB1">
        <w:t>details of shares held by a senior officer as nominee or held beneficially in a statutory authority or subsidiary</w:t>
      </w:r>
    </w:p>
    <w:p w:rsidR="00B83890" w:rsidRDefault="00B83890" w:rsidP="00C14C5D">
      <w:pPr>
        <w:pStyle w:val="ListParagraph"/>
        <w:numPr>
          <w:ilvl w:val="0"/>
          <w:numId w:val="9"/>
        </w:numPr>
      </w:pPr>
      <w:r w:rsidRPr="00CE5CB1">
        <w:t>details of publications produced by Museum Victoria about the museum, and the places where publications can be obtained</w:t>
      </w:r>
    </w:p>
    <w:p w:rsidR="00B83890" w:rsidRDefault="00B83890" w:rsidP="00C14C5D">
      <w:pPr>
        <w:pStyle w:val="ListParagraph"/>
        <w:numPr>
          <w:ilvl w:val="0"/>
          <w:numId w:val="9"/>
        </w:numPr>
      </w:pPr>
      <w:r w:rsidRPr="00CE5CB1">
        <w:t>details of changes in prices, fees, charges, rates and levies charged by Museum Victoria</w:t>
      </w:r>
    </w:p>
    <w:p w:rsidR="00B83890" w:rsidRDefault="00B83890" w:rsidP="00C14C5D">
      <w:pPr>
        <w:pStyle w:val="ListParagraph"/>
        <w:numPr>
          <w:ilvl w:val="0"/>
          <w:numId w:val="9"/>
        </w:numPr>
      </w:pPr>
      <w:r w:rsidRPr="00CE5CB1">
        <w:t>details of major research and development activities undertaken by Museum Victoria</w:t>
      </w:r>
    </w:p>
    <w:p w:rsidR="00B83890" w:rsidRDefault="00B83890" w:rsidP="00C14C5D">
      <w:pPr>
        <w:pStyle w:val="ListParagraph"/>
        <w:numPr>
          <w:ilvl w:val="0"/>
          <w:numId w:val="9"/>
        </w:numPr>
      </w:pPr>
      <w:r w:rsidRPr="00CE5CB1">
        <w:t>details of overseas visits undertaken, including a summary of the objectives and outcomes of each visit</w:t>
      </w:r>
    </w:p>
    <w:p w:rsidR="00B83890" w:rsidRDefault="00B83890" w:rsidP="00C14C5D">
      <w:pPr>
        <w:pStyle w:val="ListParagraph"/>
        <w:numPr>
          <w:ilvl w:val="0"/>
          <w:numId w:val="9"/>
        </w:numPr>
      </w:pPr>
      <w:r w:rsidRPr="00CE5CB1">
        <w:t>details of major promotional, public relations and marketing activities undertaken by Museum Victoria to develop community awareness of and engagement with the museum venues and the services we provide</w:t>
      </w:r>
    </w:p>
    <w:p w:rsidR="00B83890" w:rsidRDefault="00B83890" w:rsidP="00C14C5D">
      <w:pPr>
        <w:pStyle w:val="ListParagraph"/>
        <w:numPr>
          <w:ilvl w:val="0"/>
          <w:numId w:val="9"/>
        </w:numPr>
      </w:pPr>
      <w:r w:rsidRPr="00CE5CB1">
        <w:t>details of assessments and measures undertaken to improve the occupational health and safety of employees</w:t>
      </w:r>
    </w:p>
    <w:p w:rsidR="00B83890" w:rsidRDefault="00B83890" w:rsidP="00C14C5D">
      <w:pPr>
        <w:pStyle w:val="ListParagraph"/>
        <w:numPr>
          <w:ilvl w:val="0"/>
          <w:numId w:val="9"/>
        </w:numPr>
      </w:pPr>
      <w:r w:rsidRPr="00CE5CB1">
        <w:t>details of any major external reviews</w:t>
      </w:r>
      <w:r>
        <w:t xml:space="preserve"> carried out on Museum Victoria</w:t>
      </w:r>
    </w:p>
    <w:p w:rsidR="00B83890" w:rsidRDefault="00B83890" w:rsidP="00C14C5D">
      <w:pPr>
        <w:pStyle w:val="ListParagraph"/>
        <w:numPr>
          <w:ilvl w:val="0"/>
          <w:numId w:val="9"/>
        </w:numPr>
      </w:pPr>
      <w:r w:rsidRPr="00CE5CB1">
        <w:t>a general statement on industrial relations within Museum Victoria and details of time loss through industrial accidents and disputes</w:t>
      </w:r>
    </w:p>
    <w:p w:rsidR="00B83890" w:rsidRDefault="00B83890" w:rsidP="00C14C5D">
      <w:pPr>
        <w:pStyle w:val="ListParagraph"/>
        <w:numPr>
          <w:ilvl w:val="0"/>
          <w:numId w:val="9"/>
        </w:numPr>
      </w:pPr>
      <w:r w:rsidRPr="00CE5CB1">
        <w:t>a list of major committees sponsored by Museum Victoria, the purpose of each committee and the extent to which its purposes have been achieved</w:t>
      </w:r>
    </w:p>
    <w:p w:rsidR="00B83890" w:rsidRDefault="00B83890" w:rsidP="00C14C5D">
      <w:pPr>
        <w:pStyle w:val="ListParagraph"/>
        <w:numPr>
          <w:ilvl w:val="0"/>
          <w:numId w:val="9"/>
        </w:numPr>
      </w:pPr>
      <w:r>
        <w:lastRenderedPageBreak/>
        <w:t>details of all consultancies and contractors, including consultants/contractors engaged, services provided and expenditure committed to for each engagement.</w:t>
      </w:r>
    </w:p>
    <w:p w:rsidR="00B83890" w:rsidRPr="00CE5CB1" w:rsidRDefault="00B83890" w:rsidP="00B83890"/>
    <w:p w:rsidR="00B83890" w:rsidRDefault="00B83890" w:rsidP="00B83890">
      <w:pPr>
        <w:pStyle w:val="Heading2"/>
        <w:rPr>
          <w:i/>
          <w:kern w:val="32"/>
        </w:rPr>
      </w:pPr>
      <w:r w:rsidRPr="00CE5CB1">
        <w:rPr>
          <w:kern w:val="32"/>
        </w:rPr>
        <w:t>Information Privacy</w:t>
      </w:r>
    </w:p>
    <w:p w:rsidR="00B83890" w:rsidRDefault="00B83890" w:rsidP="00B83890">
      <w:r w:rsidRPr="00CE5CB1">
        <w:t xml:space="preserve">Museum Victoria complies with the </w:t>
      </w:r>
      <w:r w:rsidRPr="00CE5CB1">
        <w:rPr>
          <w:i/>
        </w:rPr>
        <w:t xml:space="preserve">Information Privacy Act 2000 </w:t>
      </w:r>
      <w:r w:rsidRPr="00CE5CB1">
        <w:t>(Vic.). The information privacy principles contained within the Act establish standards for the use of personal information in the public sector. Museum Victoria received no complaints in relation to breaches of privacy in 20</w:t>
      </w:r>
      <w:r>
        <w:t>12</w:t>
      </w:r>
      <w:r w:rsidRPr="00CE5CB1">
        <w:t>–1</w:t>
      </w:r>
      <w:r>
        <w:t>3</w:t>
      </w:r>
      <w:r w:rsidRPr="00CE5CB1">
        <w:t xml:space="preserve">. </w:t>
      </w:r>
    </w:p>
    <w:p w:rsidR="00B83890" w:rsidRDefault="00B83890" w:rsidP="00B83890"/>
    <w:p w:rsidR="00B83890" w:rsidRDefault="00B83890" w:rsidP="00B83890">
      <w:r w:rsidRPr="00CE5CB1">
        <w:t>For enquiries, or to request a copy of Museum Victoria’s Privacy Policy, contact:</w:t>
      </w:r>
    </w:p>
    <w:p w:rsidR="00B83890" w:rsidRDefault="00B83890" w:rsidP="00B83890">
      <w:r w:rsidRPr="00CE5CB1">
        <w:t>Privacy Officer: Manager, Information Services</w:t>
      </w:r>
    </w:p>
    <w:p w:rsidR="00B83890" w:rsidRDefault="00B83890" w:rsidP="00B83890">
      <w:r w:rsidRPr="00CE5CB1">
        <w:t>Address: GPO Box 666, Melbourne VIC</w:t>
      </w:r>
      <w:r>
        <w:t>.</w:t>
      </w:r>
      <w:r w:rsidRPr="00CE5CB1">
        <w:t xml:space="preserve"> 3001</w:t>
      </w:r>
    </w:p>
    <w:p w:rsidR="00B83890" w:rsidRDefault="00B83890" w:rsidP="00B83890">
      <w:r w:rsidRPr="00CE5CB1">
        <w:t>Telephone: (03) 8341 7109</w:t>
      </w:r>
    </w:p>
    <w:p w:rsidR="00B83890" w:rsidRDefault="00B83890" w:rsidP="00B83890">
      <w:r w:rsidRPr="00CE5CB1">
        <w:t>Fax: (03) 8341 7299</w:t>
      </w:r>
    </w:p>
    <w:p w:rsidR="00B83890" w:rsidRPr="00CE5CB1" w:rsidRDefault="00B83890" w:rsidP="00B83890"/>
    <w:p w:rsidR="00B83890" w:rsidRDefault="00B83890" w:rsidP="00B83890">
      <w:pPr>
        <w:pStyle w:val="Heading2"/>
        <w:rPr>
          <w:i/>
          <w:kern w:val="32"/>
        </w:rPr>
      </w:pPr>
      <w:r w:rsidRPr="00CE5CB1">
        <w:rPr>
          <w:kern w:val="32"/>
        </w:rPr>
        <w:t>Legislative Changes</w:t>
      </w:r>
    </w:p>
    <w:p w:rsidR="00B83890" w:rsidRPr="00CE5CB1" w:rsidRDefault="00B83890" w:rsidP="00B83890">
      <w:r w:rsidRPr="00CE5CB1">
        <w:t xml:space="preserve">There were no amendments to the </w:t>
      </w:r>
      <w:r w:rsidRPr="00CE5CB1">
        <w:rPr>
          <w:i/>
        </w:rPr>
        <w:t>Museums Act 1983</w:t>
      </w:r>
      <w:r w:rsidRPr="00CE5CB1">
        <w:t xml:space="preserve"> in the 201</w:t>
      </w:r>
      <w:r>
        <w:t>2</w:t>
      </w:r>
      <w:r w:rsidRPr="00CE5CB1">
        <w:t>–1</w:t>
      </w:r>
      <w:r>
        <w:t>3</w:t>
      </w:r>
      <w:r w:rsidRPr="00CE5CB1">
        <w:t xml:space="preserve"> financial year.</w:t>
      </w:r>
    </w:p>
    <w:p w:rsidR="00B83890" w:rsidRPr="00CE5CB1" w:rsidRDefault="00B83890" w:rsidP="00B83890"/>
    <w:p w:rsidR="00B83890" w:rsidRDefault="00B83890" w:rsidP="00B83890">
      <w:pPr>
        <w:pStyle w:val="Heading2"/>
        <w:rPr>
          <w:i/>
          <w:kern w:val="32"/>
        </w:rPr>
      </w:pPr>
      <w:r w:rsidRPr="00CE5CB1">
        <w:rPr>
          <w:kern w:val="32"/>
        </w:rPr>
        <w:t>Cultural Diversity Statement</w:t>
      </w:r>
    </w:p>
    <w:p w:rsidR="00B83890" w:rsidRPr="00CE5CB1" w:rsidRDefault="00B83890" w:rsidP="00B83890">
      <w:r w:rsidRPr="00CE5CB1">
        <w:t>Museum Victoria values and is committed to fairness and equity in all we do. We actively encourage access and participation, and embrace the principles of sustainability, social justice and reconciliation.</w:t>
      </w:r>
    </w:p>
    <w:p w:rsidR="00B83890" w:rsidRPr="00CE5CB1" w:rsidRDefault="00B83890" w:rsidP="00B83890"/>
    <w:p w:rsidR="00B83890" w:rsidRDefault="00B83890" w:rsidP="00B83890">
      <w:pPr>
        <w:pStyle w:val="Heading2"/>
        <w:rPr>
          <w:kern w:val="32"/>
        </w:rPr>
      </w:pPr>
      <w:r w:rsidRPr="00CE5CB1">
        <w:rPr>
          <w:kern w:val="32"/>
        </w:rPr>
        <w:t>Relevant Activities Undertaken During the 201</w:t>
      </w:r>
      <w:r>
        <w:rPr>
          <w:kern w:val="32"/>
        </w:rPr>
        <w:t>2</w:t>
      </w:r>
      <w:r w:rsidRPr="00CE5CB1">
        <w:rPr>
          <w:kern w:val="32"/>
        </w:rPr>
        <w:t>–1</w:t>
      </w:r>
      <w:r>
        <w:rPr>
          <w:kern w:val="32"/>
        </w:rPr>
        <w:t>3</w:t>
      </w:r>
      <w:r w:rsidRPr="00CE5CB1">
        <w:rPr>
          <w:kern w:val="32"/>
        </w:rPr>
        <w:t xml:space="preserve"> Financial Year</w:t>
      </w:r>
    </w:p>
    <w:p w:rsidR="00B83890" w:rsidRDefault="00B83890" w:rsidP="00C14C5D">
      <w:pPr>
        <w:pStyle w:val="ListParagraph"/>
        <w:numPr>
          <w:ilvl w:val="0"/>
          <w:numId w:val="10"/>
        </w:numPr>
      </w:pPr>
      <w:r w:rsidRPr="00CE5CB1">
        <w:t xml:space="preserve">Ongoing community engagement </w:t>
      </w:r>
      <w:r>
        <w:t xml:space="preserve">was </w:t>
      </w:r>
      <w:r w:rsidRPr="00CE5CB1">
        <w:t>undertaken at Melbourne Museum, the Immigration Museum and Bunjilaka to deliver exhibitions and festivals</w:t>
      </w:r>
      <w:r>
        <w:t>.</w:t>
      </w:r>
    </w:p>
    <w:p w:rsidR="00B83890" w:rsidRDefault="00B83890" w:rsidP="00C14C5D">
      <w:pPr>
        <w:pStyle w:val="ListParagraph"/>
        <w:numPr>
          <w:ilvl w:val="0"/>
          <w:numId w:val="10"/>
        </w:numPr>
      </w:pPr>
      <w:r>
        <w:t>Equal employment opportunity training was delivered to staff and volunteers.</w:t>
      </w:r>
    </w:p>
    <w:p w:rsidR="00B83890" w:rsidRDefault="00B83890" w:rsidP="00C14C5D">
      <w:pPr>
        <w:pStyle w:val="ListParagraph"/>
        <w:numPr>
          <w:ilvl w:val="0"/>
          <w:numId w:val="10"/>
        </w:numPr>
      </w:pPr>
      <w:r>
        <w:t>F</w:t>
      </w:r>
      <w:r w:rsidRPr="00CE5CB1">
        <w:t xml:space="preserve">acilities </w:t>
      </w:r>
      <w:r>
        <w:t xml:space="preserve">were provided </w:t>
      </w:r>
      <w:r w:rsidRPr="00CE5CB1">
        <w:t>for Indigenous groups to meet free of charge</w:t>
      </w:r>
      <w:r>
        <w:t>.</w:t>
      </w:r>
    </w:p>
    <w:p w:rsidR="00B83890" w:rsidRDefault="00B83890" w:rsidP="00C14C5D">
      <w:pPr>
        <w:pStyle w:val="ListParagraph"/>
        <w:numPr>
          <w:ilvl w:val="0"/>
          <w:numId w:val="10"/>
        </w:numPr>
      </w:pPr>
      <w:r>
        <w:t>G</w:t>
      </w:r>
      <w:r w:rsidRPr="00CE5CB1">
        <w:t xml:space="preserve">eneral access to the ethnographic and photographic Indigenous collections </w:t>
      </w:r>
      <w:r>
        <w:t>continued to be provided to</w:t>
      </w:r>
      <w:r w:rsidRPr="00CE5CB1">
        <w:t xml:space="preserve"> members of the Indigenous community</w:t>
      </w:r>
      <w:r>
        <w:t>.</w:t>
      </w:r>
    </w:p>
    <w:p w:rsidR="00B83890" w:rsidRDefault="00B83890" w:rsidP="00C14C5D">
      <w:pPr>
        <w:pStyle w:val="ListParagraph"/>
        <w:numPr>
          <w:ilvl w:val="0"/>
          <w:numId w:val="10"/>
        </w:numPr>
      </w:pPr>
      <w:r>
        <w:t xml:space="preserve">A </w:t>
      </w:r>
      <w:r w:rsidRPr="00CE5CB1">
        <w:t xml:space="preserve">research program and development of priority areas of the collection </w:t>
      </w:r>
      <w:r>
        <w:t>e</w:t>
      </w:r>
      <w:r w:rsidRPr="00CE5CB1">
        <w:t>nhanced understanding of the Indigenous Cultures collection</w:t>
      </w:r>
      <w:r>
        <w:t>.</w:t>
      </w:r>
    </w:p>
    <w:p w:rsidR="00B83890" w:rsidRDefault="00B83890" w:rsidP="00C14C5D">
      <w:pPr>
        <w:pStyle w:val="ListParagraph"/>
        <w:numPr>
          <w:ilvl w:val="0"/>
          <w:numId w:val="10"/>
        </w:numPr>
      </w:pPr>
      <w:r>
        <w:t>B</w:t>
      </w:r>
      <w:r w:rsidRPr="00CE5CB1">
        <w:t xml:space="preserve">est-practice collection management </w:t>
      </w:r>
      <w:r>
        <w:t>c</w:t>
      </w:r>
      <w:r w:rsidRPr="00CE5CB1">
        <w:t xml:space="preserve">ontinued </w:t>
      </w:r>
      <w:r>
        <w:t xml:space="preserve">to </w:t>
      </w:r>
      <w:r w:rsidRPr="00CE5CB1">
        <w:t>safeguard the internationally significant Indigenous Cultures collection</w:t>
      </w:r>
      <w:r>
        <w:t>.</w:t>
      </w:r>
      <w:r w:rsidRPr="00CE5CB1">
        <w:t xml:space="preserve"> </w:t>
      </w:r>
    </w:p>
    <w:p w:rsidR="00B83890" w:rsidRDefault="00B83890" w:rsidP="00C14C5D">
      <w:pPr>
        <w:pStyle w:val="ListParagraph"/>
        <w:numPr>
          <w:ilvl w:val="0"/>
          <w:numId w:val="10"/>
        </w:numPr>
      </w:pPr>
      <w:r>
        <w:t>The</w:t>
      </w:r>
      <w:r w:rsidRPr="00CE5CB1">
        <w:t xml:space="preserve"> program </w:t>
      </w:r>
      <w:r>
        <w:t>continued</w:t>
      </w:r>
      <w:r w:rsidRPr="00CE5CB1">
        <w:t xml:space="preserve"> for </w:t>
      </w:r>
      <w:r>
        <w:t xml:space="preserve">the </w:t>
      </w:r>
      <w:r w:rsidRPr="00CE5CB1">
        <w:t>repatriation of ancestral remains and secret sacred objects to Aboriginal communities</w:t>
      </w:r>
      <w:r>
        <w:t>.</w:t>
      </w:r>
    </w:p>
    <w:p w:rsidR="00B83890" w:rsidRDefault="00B83890" w:rsidP="00C14C5D">
      <w:pPr>
        <w:pStyle w:val="ListParagraph"/>
        <w:numPr>
          <w:ilvl w:val="0"/>
          <w:numId w:val="10"/>
        </w:numPr>
      </w:pPr>
      <w:r>
        <w:t>T</w:t>
      </w:r>
      <w:r w:rsidRPr="00CE5CB1">
        <w:t xml:space="preserve">he Discovering Science program </w:t>
      </w:r>
      <w:r>
        <w:t>e</w:t>
      </w:r>
      <w:r w:rsidRPr="00CE5CB1">
        <w:t>ngage</w:t>
      </w:r>
      <w:r>
        <w:t>d</w:t>
      </w:r>
      <w:r w:rsidRPr="00CE5CB1">
        <w:t xml:space="preserve"> with </w:t>
      </w:r>
      <w:r>
        <w:t xml:space="preserve">members of </w:t>
      </w:r>
      <w:r w:rsidRPr="00CE5CB1">
        <w:t>local disadvantaged communities</w:t>
      </w:r>
      <w:r>
        <w:t>.</w:t>
      </w:r>
    </w:p>
    <w:p w:rsidR="00B83890" w:rsidRDefault="00B83890" w:rsidP="00C14C5D">
      <w:pPr>
        <w:pStyle w:val="ListParagraph"/>
        <w:numPr>
          <w:ilvl w:val="0"/>
          <w:numId w:val="10"/>
        </w:numPr>
      </w:pPr>
      <w:r>
        <w:t>P</w:t>
      </w:r>
      <w:r w:rsidRPr="00CE5CB1">
        <w:t>rograms such as Hands on History, Talking Faiths, Narratives Across Cultures and Talking Difference</w:t>
      </w:r>
      <w:r>
        <w:t xml:space="preserve"> delivered our</w:t>
      </w:r>
      <w:r w:rsidRPr="00CE5CB1">
        <w:t xml:space="preserve"> multicultural youth initiative</w:t>
      </w:r>
      <w:r>
        <w:t>.</w:t>
      </w:r>
    </w:p>
    <w:p w:rsidR="00B83890" w:rsidRDefault="00B83890" w:rsidP="00C14C5D">
      <w:pPr>
        <w:pStyle w:val="ListParagraph"/>
        <w:numPr>
          <w:ilvl w:val="0"/>
          <w:numId w:val="10"/>
        </w:numPr>
      </w:pPr>
      <w:r>
        <w:t>E</w:t>
      </w:r>
      <w:r w:rsidRPr="00CE5CB1">
        <w:t>arly</w:t>
      </w:r>
      <w:r>
        <w:t xml:space="preserve"> </w:t>
      </w:r>
      <w:r w:rsidRPr="00CE5CB1">
        <w:t>learning programs, including the World’s Biggest Playgroup and Romp &amp; Stomp</w:t>
      </w:r>
      <w:r>
        <w:t>, were presented.</w:t>
      </w:r>
    </w:p>
    <w:p w:rsidR="00B83890" w:rsidRDefault="00B83890" w:rsidP="00C14C5D">
      <w:pPr>
        <w:pStyle w:val="ListParagraph"/>
        <w:numPr>
          <w:ilvl w:val="0"/>
          <w:numId w:val="10"/>
        </w:numPr>
      </w:pPr>
      <w:r>
        <w:t>L</w:t>
      </w:r>
      <w:r w:rsidRPr="00CE5CB1">
        <w:t xml:space="preserve">ong-term loans </w:t>
      </w:r>
      <w:r>
        <w:t xml:space="preserve">were maintained </w:t>
      </w:r>
      <w:r w:rsidRPr="00CE5CB1">
        <w:t>to Aboriginal community-based museums in Shepparton, Bairnsdale, Yarrabah, Kakadu and Tennant Creek</w:t>
      </w:r>
      <w:r>
        <w:t>.</w:t>
      </w:r>
    </w:p>
    <w:p w:rsidR="00B83890" w:rsidRPr="00CE5CB1" w:rsidRDefault="00B83890" w:rsidP="00B83890"/>
    <w:p w:rsidR="009C0D27" w:rsidRDefault="009C0D27">
      <w:pPr>
        <w:keepNext w:val="0"/>
        <w:spacing w:after="200" w:line="276" w:lineRule="auto"/>
        <w:outlineLvl w:val="9"/>
        <w:rPr>
          <w:b/>
          <w:kern w:val="32"/>
          <w:sz w:val="32"/>
          <w:szCs w:val="32"/>
        </w:rPr>
      </w:pPr>
      <w:r>
        <w:rPr>
          <w:kern w:val="32"/>
        </w:rPr>
        <w:br w:type="page"/>
      </w:r>
    </w:p>
    <w:p w:rsidR="00B83890" w:rsidRDefault="00B83890" w:rsidP="00B83890">
      <w:pPr>
        <w:pStyle w:val="Heading2"/>
        <w:rPr>
          <w:i/>
          <w:kern w:val="32"/>
        </w:rPr>
      </w:pPr>
      <w:r w:rsidRPr="00CE5CB1">
        <w:rPr>
          <w:kern w:val="32"/>
        </w:rPr>
        <w:lastRenderedPageBreak/>
        <w:t>Disability Action Plan</w:t>
      </w:r>
    </w:p>
    <w:p w:rsidR="00B83890" w:rsidRDefault="00B83890" w:rsidP="00B83890">
      <w:r>
        <w:t xml:space="preserve">A new Disability Action Plan will be developed for Museum Victoria in 2013–14, following the finalisation of the 2013–18 Strategic Plan. </w:t>
      </w:r>
    </w:p>
    <w:p w:rsidR="00B83890" w:rsidRDefault="00B83890" w:rsidP="00B83890"/>
    <w:p w:rsidR="00B83890" w:rsidRPr="002616B7" w:rsidRDefault="00B83890" w:rsidP="00B83890">
      <w:r>
        <w:t xml:space="preserve">Activities undertaken during the year to enhance access for people with disabilities </w:t>
      </w:r>
      <w:r w:rsidRPr="002616B7">
        <w:t>include:</w:t>
      </w:r>
    </w:p>
    <w:p w:rsidR="00B83890" w:rsidRPr="00D817BA" w:rsidRDefault="00B83890" w:rsidP="00C14C5D">
      <w:pPr>
        <w:numPr>
          <w:ilvl w:val="0"/>
          <w:numId w:val="11"/>
        </w:numPr>
        <w:contextualSpacing/>
        <w:rPr>
          <w:rFonts w:eastAsia="Calibri"/>
          <w:b/>
        </w:rPr>
      </w:pPr>
      <w:r>
        <w:rPr>
          <w:rFonts w:eastAsia="Calibri"/>
        </w:rPr>
        <w:t xml:space="preserve">the launch of the crowd-sourcing website </w:t>
      </w:r>
      <w:r w:rsidRPr="0022738C">
        <w:rPr>
          <w:rFonts w:eastAsia="Calibri"/>
          <w:i/>
        </w:rPr>
        <w:t>Describe Me</w:t>
      </w:r>
      <w:r>
        <w:rPr>
          <w:rFonts w:eastAsia="Calibri"/>
        </w:rPr>
        <w:t>, which asks the public to assist with writing Alt-text descriptions for collection images</w:t>
      </w:r>
    </w:p>
    <w:p w:rsidR="00B83890" w:rsidRPr="00D817BA" w:rsidRDefault="00B83890" w:rsidP="00C14C5D">
      <w:pPr>
        <w:numPr>
          <w:ilvl w:val="0"/>
          <w:numId w:val="11"/>
        </w:numPr>
        <w:contextualSpacing/>
        <w:rPr>
          <w:rFonts w:eastAsia="Calibri"/>
          <w:b/>
        </w:rPr>
      </w:pPr>
      <w:r>
        <w:rPr>
          <w:rFonts w:eastAsia="Calibri"/>
        </w:rPr>
        <w:t xml:space="preserve">external access audit of plans for the upcoming long-term Scienceworks exhibition, </w:t>
      </w:r>
      <w:r>
        <w:rPr>
          <w:rFonts w:eastAsia="Calibri"/>
          <w:i/>
        </w:rPr>
        <w:t>Think Ahead</w:t>
      </w:r>
    </w:p>
    <w:p w:rsidR="00B83890" w:rsidRPr="002D52DD" w:rsidRDefault="00B83890" w:rsidP="00C14C5D">
      <w:pPr>
        <w:numPr>
          <w:ilvl w:val="0"/>
          <w:numId w:val="11"/>
        </w:numPr>
        <w:contextualSpacing/>
        <w:rPr>
          <w:rFonts w:eastAsia="Calibri"/>
          <w:b/>
        </w:rPr>
      </w:pPr>
      <w:r>
        <w:rPr>
          <w:rFonts w:eastAsia="Calibri"/>
        </w:rPr>
        <w:t>presentation of a session in conjunction with the National Gallery of Victoria about accessible galleries and museums at the ‘Who’s Coming?’ forum</w:t>
      </w:r>
    </w:p>
    <w:p w:rsidR="00B83890" w:rsidRPr="002616B7" w:rsidRDefault="00B83890" w:rsidP="00C14C5D">
      <w:pPr>
        <w:numPr>
          <w:ilvl w:val="0"/>
          <w:numId w:val="11"/>
        </w:numPr>
        <w:contextualSpacing/>
        <w:rPr>
          <w:rFonts w:eastAsia="Calibri"/>
        </w:rPr>
      </w:pPr>
      <w:r w:rsidRPr="002616B7">
        <w:rPr>
          <w:rFonts w:eastAsia="Calibri"/>
        </w:rPr>
        <w:t>continued implementation of high-priority recommendations from venue access appraisals, including:</w:t>
      </w:r>
    </w:p>
    <w:p w:rsidR="00B83890" w:rsidRDefault="00B83890" w:rsidP="00C14C5D">
      <w:pPr>
        <w:numPr>
          <w:ilvl w:val="1"/>
          <w:numId w:val="11"/>
        </w:numPr>
        <w:ind w:left="709" w:hanging="283"/>
        <w:contextualSpacing/>
        <w:rPr>
          <w:rFonts w:eastAsia="Calibri"/>
        </w:rPr>
      </w:pPr>
      <w:r>
        <w:rPr>
          <w:rFonts w:eastAsia="Calibri"/>
        </w:rPr>
        <w:t>installation of high-visibility indicators to the main staircase at the Immigration Museum</w:t>
      </w:r>
    </w:p>
    <w:p w:rsidR="00B83890" w:rsidRDefault="00B83890" w:rsidP="00C14C5D">
      <w:pPr>
        <w:numPr>
          <w:ilvl w:val="1"/>
          <w:numId w:val="11"/>
        </w:numPr>
        <w:ind w:left="709" w:hanging="283"/>
        <w:contextualSpacing/>
        <w:rPr>
          <w:rFonts w:eastAsia="Calibri"/>
        </w:rPr>
      </w:pPr>
      <w:r>
        <w:rPr>
          <w:rFonts w:eastAsia="Calibri"/>
        </w:rPr>
        <w:t>installation of high-visibility floor markings for exit paths</w:t>
      </w:r>
    </w:p>
    <w:p w:rsidR="00B83890" w:rsidRPr="002616B7" w:rsidRDefault="00B83890" w:rsidP="00C14C5D">
      <w:pPr>
        <w:numPr>
          <w:ilvl w:val="1"/>
          <w:numId w:val="11"/>
        </w:numPr>
        <w:ind w:left="709" w:hanging="283"/>
        <w:contextualSpacing/>
        <w:rPr>
          <w:rFonts w:eastAsia="Calibri"/>
        </w:rPr>
      </w:pPr>
      <w:r>
        <w:rPr>
          <w:rFonts w:eastAsia="Calibri"/>
        </w:rPr>
        <w:t>installation of automated door arms in the Melbourne Museum car park</w:t>
      </w:r>
    </w:p>
    <w:p w:rsidR="00B83890" w:rsidRPr="002616B7" w:rsidRDefault="00B83890" w:rsidP="00C14C5D">
      <w:pPr>
        <w:numPr>
          <w:ilvl w:val="0"/>
          <w:numId w:val="11"/>
        </w:numPr>
        <w:contextualSpacing/>
        <w:rPr>
          <w:rFonts w:eastAsia="Calibri"/>
        </w:rPr>
      </w:pPr>
      <w:r>
        <w:rPr>
          <w:rFonts w:eastAsia="Calibri"/>
        </w:rPr>
        <w:t xml:space="preserve">continued </w:t>
      </w:r>
      <w:r w:rsidRPr="002616B7">
        <w:rPr>
          <w:rFonts w:eastAsia="Calibri"/>
        </w:rPr>
        <w:t xml:space="preserve">implementation of recommendations from the </w:t>
      </w:r>
      <w:r>
        <w:rPr>
          <w:rFonts w:eastAsia="Calibri"/>
        </w:rPr>
        <w:t xml:space="preserve">accessibility audit </w:t>
      </w:r>
      <w:r w:rsidRPr="002616B7">
        <w:rPr>
          <w:rFonts w:eastAsia="Calibri"/>
        </w:rPr>
        <w:t>of the Museum Victoria website</w:t>
      </w:r>
      <w:r>
        <w:rPr>
          <w:rFonts w:eastAsia="Calibri"/>
        </w:rPr>
        <w:t>, which was carried out against the</w:t>
      </w:r>
      <w:r w:rsidRPr="00C86E1E">
        <w:rPr>
          <w:rFonts w:eastAsia="Calibri"/>
        </w:rPr>
        <w:t xml:space="preserve"> </w:t>
      </w:r>
      <w:r w:rsidRPr="002616B7">
        <w:rPr>
          <w:rFonts w:eastAsia="Calibri"/>
        </w:rPr>
        <w:t>W3C WCAG 2.0</w:t>
      </w:r>
      <w:r>
        <w:rPr>
          <w:rFonts w:eastAsia="Calibri"/>
        </w:rPr>
        <w:t xml:space="preserve"> guidelines</w:t>
      </w:r>
      <w:r w:rsidRPr="002616B7">
        <w:rPr>
          <w:rFonts w:eastAsia="Calibri"/>
        </w:rPr>
        <w:t>.</w:t>
      </w:r>
    </w:p>
    <w:p w:rsidR="00B83890" w:rsidRPr="00CE5CB1" w:rsidRDefault="00B83890" w:rsidP="00B83890"/>
    <w:p w:rsidR="00B83890" w:rsidRDefault="00B83890" w:rsidP="00B83890">
      <w:pPr>
        <w:pStyle w:val="Heading2"/>
        <w:rPr>
          <w:i/>
          <w:kern w:val="32"/>
        </w:rPr>
      </w:pPr>
      <w:r w:rsidRPr="00CE5CB1">
        <w:rPr>
          <w:kern w:val="32"/>
        </w:rPr>
        <w:t>Victorian Government Risk</w:t>
      </w:r>
      <w:r>
        <w:rPr>
          <w:kern w:val="32"/>
        </w:rPr>
        <w:t xml:space="preserve"> M</w:t>
      </w:r>
      <w:r w:rsidRPr="00CE5CB1">
        <w:rPr>
          <w:kern w:val="32"/>
        </w:rPr>
        <w:t>anagement Framework</w:t>
      </w:r>
    </w:p>
    <w:p w:rsidR="00B83890" w:rsidRPr="00E12CF9" w:rsidRDefault="00B83890" w:rsidP="00B83890">
      <w:pPr>
        <w:autoSpaceDE w:val="0"/>
        <w:autoSpaceDN w:val="0"/>
        <w:adjustRightInd w:val="0"/>
        <w:rPr>
          <w:rFonts w:cs="Arial"/>
        </w:rPr>
      </w:pPr>
      <w:r w:rsidRPr="00E12CF9">
        <w:rPr>
          <w:rFonts w:cs="Arial"/>
        </w:rPr>
        <w:t xml:space="preserve">I, Margaret Gardner, certify that the Museums Board of Victoria’s (trading as ‘Museum Victoria’) risk management processes are under review, to ensure consistency with the Australian/New Zealand Risk Management Standard (AS/NZS ISO 31000:2009 or its successor). This review includes an assessment of the appropriateness and consistency of Museum Victoria’s internal control systems, to confirm that the Executive is able to understand, manage and satisfactorily control risk exposures. The Finance, Audit and Risk Committee verifies this assurance and that the </w:t>
      </w:r>
      <w:r w:rsidRPr="00A25848">
        <w:rPr>
          <w:rFonts w:cs="Arial"/>
        </w:rPr>
        <w:t>strategic</w:t>
      </w:r>
      <w:r>
        <w:rPr>
          <w:rFonts w:cs="Arial"/>
        </w:rPr>
        <w:t xml:space="preserve"> </w:t>
      </w:r>
      <w:r w:rsidRPr="00E12CF9">
        <w:rPr>
          <w:rFonts w:cs="Arial"/>
        </w:rPr>
        <w:t>risk profile of the Museums Board of Victoria has been</w:t>
      </w:r>
      <w:r>
        <w:rPr>
          <w:rFonts w:cs="Arial"/>
        </w:rPr>
        <w:t xml:space="preserve"> </w:t>
      </w:r>
      <w:r w:rsidRPr="00A25848">
        <w:rPr>
          <w:rFonts w:cs="Arial"/>
        </w:rPr>
        <w:t>assessed</w:t>
      </w:r>
      <w:r>
        <w:rPr>
          <w:rFonts w:cs="Arial"/>
        </w:rPr>
        <w:t xml:space="preserve"> </w:t>
      </w:r>
      <w:r w:rsidRPr="00E12CF9">
        <w:rPr>
          <w:rFonts w:cs="Arial"/>
        </w:rPr>
        <w:t>within the last 12 months.</w:t>
      </w:r>
    </w:p>
    <w:p w:rsidR="00B83890" w:rsidRPr="00CE5CB1" w:rsidRDefault="00B83890" w:rsidP="00B83890"/>
    <w:p w:rsidR="00B83890" w:rsidRPr="00CE5CB1" w:rsidRDefault="00B83890" w:rsidP="00B83890">
      <w:r w:rsidRPr="002710ED">
        <w:t>&lt;signature&gt;</w:t>
      </w:r>
    </w:p>
    <w:p w:rsidR="00B83890" w:rsidRPr="00CE5CB1" w:rsidRDefault="00B83890" w:rsidP="00B83890"/>
    <w:p w:rsidR="00B83890" w:rsidRPr="00CE5CB1" w:rsidRDefault="00B83890" w:rsidP="00B83890">
      <w:r w:rsidRPr="00CE5CB1">
        <w:t>Professor Margaret Gardner</w:t>
      </w:r>
      <w:r>
        <w:t xml:space="preserve"> AO</w:t>
      </w:r>
    </w:p>
    <w:p w:rsidR="00B83890" w:rsidRPr="00CE5CB1" w:rsidRDefault="00B83890" w:rsidP="00B83890">
      <w:r w:rsidRPr="00CE5CB1">
        <w:t>President, Museums Board of Victoria</w:t>
      </w:r>
    </w:p>
    <w:p w:rsidR="00B83890" w:rsidRDefault="00B83890" w:rsidP="00B83890">
      <w:r>
        <w:t>30 June 2013</w:t>
      </w:r>
    </w:p>
    <w:p w:rsidR="00B83890" w:rsidRPr="00CE5CB1" w:rsidRDefault="00B83890" w:rsidP="00B83890"/>
    <w:p w:rsidR="00B83890" w:rsidRPr="00751B3E" w:rsidRDefault="00B83890" w:rsidP="00751B3E">
      <w:pPr>
        <w:pStyle w:val="Heading2"/>
      </w:pPr>
      <w:r w:rsidRPr="00751B3E">
        <w:t>Insurance Attestation</w:t>
      </w:r>
    </w:p>
    <w:p w:rsidR="00B83890" w:rsidRPr="004E01BE" w:rsidRDefault="00B83890" w:rsidP="00751B3E">
      <w:r w:rsidRPr="004E01BE">
        <w:t>I, Margaret Gardner, certify that the Museums Board of Victoria (trading as ‘Museum Victoria’) has complied with Ministerial Direction 4.5.5.1 – Insurance.</w:t>
      </w:r>
    </w:p>
    <w:p w:rsidR="00B83890" w:rsidRPr="004E01BE" w:rsidRDefault="00B83890" w:rsidP="00751B3E"/>
    <w:p w:rsidR="00B83890" w:rsidRPr="004E01BE" w:rsidRDefault="00B83890" w:rsidP="00751B3E">
      <w:r w:rsidRPr="004E01BE">
        <w:t>&lt;signature&gt;</w:t>
      </w:r>
    </w:p>
    <w:p w:rsidR="00B83890" w:rsidRDefault="00B83890" w:rsidP="00751B3E">
      <w:pPr>
        <w:rPr>
          <w:color w:val="FF0000"/>
        </w:rPr>
      </w:pPr>
    </w:p>
    <w:p w:rsidR="00B83890" w:rsidRPr="002616B7" w:rsidRDefault="00B83890" w:rsidP="00751B3E">
      <w:r w:rsidRPr="002616B7">
        <w:t>Professor Margaret Gardner</w:t>
      </w:r>
      <w:r>
        <w:t xml:space="preserve"> AO</w:t>
      </w:r>
    </w:p>
    <w:p w:rsidR="00B83890" w:rsidRPr="002616B7" w:rsidRDefault="00B83890" w:rsidP="00751B3E">
      <w:r w:rsidRPr="002616B7">
        <w:t>President, Museums Board of Victoria</w:t>
      </w:r>
    </w:p>
    <w:p w:rsidR="00B83890" w:rsidRPr="002616B7" w:rsidRDefault="00B83890" w:rsidP="00751B3E">
      <w:r w:rsidRPr="002616B7">
        <w:t>30 June 201</w:t>
      </w:r>
      <w:r>
        <w:t>3</w:t>
      </w:r>
    </w:p>
    <w:p w:rsidR="00B83890" w:rsidRPr="00CE5CB1" w:rsidRDefault="00B83890" w:rsidP="00751B3E"/>
    <w:p w:rsidR="00B83890" w:rsidRDefault="00B83890" w:rsidP="00B83890">
      <w:pPr>
        <w:pStyle w:val="Heading2"/>
        <w:rPr>
          <w:i/>
          <w:kern w:val="32"/>
        </w:rPr>
      </w:pPr>
      <w:r w:rsidRPr="00CE5CB1">
        <w:rPr>
          <w:kern w:val="32"/>
        </w:rPr>
        <w:t>National Competition Policy</w:t>
      </w:r>
    </w:p>
    <w:p w:rsidR="00B83890" w:rsidRPr="00CE5CB1" w:rsidRDefault="00B83890" w:rsidP="00B83890">
      <w:r w:rsidRPr="00CE5CB1">
        <w:t>Museum Victoria is committed to competitive neutrality principles, ensuring fair and open competition. Many non-core activities have been outsourced, such as cleaning, food and beverage services, and security.</w:t>
      </w:r>
    </w:p>
    <w:p w:rsidR="00B83890" w:rsidRPr="00CE5CB1" w:rsidRDefault="00B83890" w:rsidP="00B83890"/>
    <w:p w:rsidR="00B83890" w:rsidRDefault="00B83890" w:rsidP="00B83890">
      <w:pPr>
        <w:pStyle w:val="Heading2"/>
        <w:keepNext w:val="0"/>
        <w:widowControl w:val="0"/>
        <w:rPr>
          <w:i/>
          <w:kern w:val="32"/>
        </w:rPr>
      </w:pPr>
      <w:r w:rsidRPr="00CE5CB1">
        <w:rPr>
          <w:kern w:val="32"/>
        </w:rPr>
        <w:t>Victorian Industry Participation Policy</w:t>
      </w:r>
    </w:p>
    <w:p w:rsidR="00B83890" w:rsidRPr="00F26E31" w:rsidRDefault="00B83890" w:rsidP="00751B3E">
      <w:r w:rsidRPr="00F26E31">
        <w:t xml:space="preserve">The </w:t>
      </w:r>
      <w:r w:rsidRPr="00F26E31">
        <w:rPr>
          <w:i/>
          <w:iCs/>
        </w:rPr>
        <w:t xml:space="preserve">Victorian Industry Participation Policy Act 2003 </w:t>
      </w:r>
      <w:r w:rsidRPr="00F26E31">
        <w:t>requires public bodies to report on the application of the</w:t>
      </w:r>
      <w:r w:rsidRPr="00F26E31">
        <w:rPr>
          <w:i/>
          <w:iCs/>
        </w:rPr>
        <w:t xml:space="preserve"> </w:t>
      </w:r>
      <w:r w:rsidRPr="00F26E31">
        <w:rPr>
          <w:iCs/>
        </w:rPr>
        <w:t>Victorian Industry Participation Policy</w:t>
      </w:r>
      <w:r w:rsidRPr="00F26E31">
        <w:t xml:space="preserve"> </w:t>
      </w:r>
      <w:r>
        <w:t xml:space="preserve">(VIPP) </w:t>
      </w:r>
      <w:r w:rsidRPr="00F26E31">
        <w:t>to all tenders over $3 million in metropolitan Melbourne and $1 million in regional Victoria.</w:t>
      </w:r>
      <w:r w:rsidRPr="00F26E31" w:rsidDel="00F26E31">
        <w:t xml:space="preserve"> </w:t>
      </w:r>
    </w:p>
    <w:p w:rsidR="00B83890" w:rsidRPr="00F26E31" w:rsidRDefault="00B83890" w:rsidP="00751B3E">
      <w:bookmarkStart w:id="13" w:name="OLE_LINK9"/>
      <w:bookmarkStart w:id="14" w:name="OLE_LINK10"/>
    </w:p>
    <w:p w:rsidR="00B83890" w:rsidRDefault="00B83890" w:rsidP="00751B3E">
      <w:r w:rsidRPr="003C7885">
        <w:t xml:space="preserve">Details of contracts </w:t>
      </w:r>
      <w:r>
        <w:t>commenced</w:t>
      </w:r>
      <w:r w:rsidRPr="003C7885">
        <w:t xml:space="preserve"> during the year to which the VIPP applies are as follows:</w:t>
      </w:r>
    </w:p>
    <w:p w:rsidR="00B83890" w:rsidRDefault="00B83890" w:rsidP="00C14C5D">
      <w:pPr>
        <w:keepNext w:val="0"/>
        <w:widowControl w:val="0"/>
        <w:numPr>
          <w:ilvl w:val="0"/>
          <w:numId w:val="12"/>
        </w:numPr>
        <w:spacing w:line="240" w:lineRule="atLeast"/>
        <w:ind w:left="357" w:hanging="357"/>
        <w:jc w:val="both"/>
        <w:outlineLvl w:val="9"/>
      </w:pPr>
      <w:r>
        <w:t>two</w:t>
      </w:r>
      <w:r w:rsidRPr="003C7885">
        <w:t xml:space="preserve"> contracts totalling $</w:t>
      </w:r>
      <w:r w:rsidRPr="00637BD7">
        <w:t>13.2 million</w:t>
      </w:r>
      <w:r w:rsidRPr="003C7885">
        <w:t xml:space="preserve"> in value (excluding GST), in metropolitan Melbourne.</w:t>
      </w:r>
    </w:p>
    <w:p w:rsidR="00B83890" w:rsidRDefault="00B83890" w:rsidP="00751B3E">
      <w:pPr>
        <w:rPr>
          <w:highlight w:val="yellow"/>
        </w:rPr>
      </w:pPr>
    </w:p>
    <w:p w:rsidR="00B83890" w:rsidRDefault="00B83890" w:rsidP="00751B3E">
      <w:r w:rsidRPr="003C7885">
        <w:t>The outcomes under the VIPP include:</w:t>
      </w:r>
    </w:p>
    <w:p w:rsidR="00B83890" w:rsidRPr="00637BD7" w:rsidRDefault="00B83890" w:rsidP="00C14C5D">
      <w:pPr>
        <w:keepNext w:val="0"/>
        <w:widowControl w:val="0"/>
        <w:numPr>
          <w:ilvl w:val="0"/>
          <w:numId w:val="12"/>
        </w:numPr>
        <w:spacing w:line="240" w:lineRule="atLeast"/>
        <w:ind w:left="357" w:hanging="357"/>
        <w:jc w:val="both"/>
        <w:outlineLvl w:val="9"/>
      </w:pPr>
      <w:r>
        <w:t>59 full-time equivalent</w:t>
      </w:r>
      <w:r w:rsidRPr="00637BD7">
        <w:t xml:space="preserve"> jobs</w:t>
      </w:r>
    </w:p>
    <w:p w:rsidR="00B83890" w:rsidRPr="00637BD7" w:rsidRDefault="00B83890" w:rsidP="00C14C5D">
      <w:pPr>
        <w:keepNext w:val="0"/>
        <w:widowControl w:val="0"/>
        <w:numPr>
          <w:ilvl w:val="0"/>
          <w:numId w:val="12"/>
        </w:numPr>
        <w:spacing w:line="240" w:lineRule="atLeast"/>
        <w:ind w:left="357" w:hanging="357"/>
        <w:jc w:val="both"/>
        <w:outlineLvl w:val="9"/>
      </w:pPr>
      <w:r w:rsidRPr="00637BD7">
        <w:t xml:space="preserve">21 </w:t>
      </w:r>
      <w:r>
        <w:t>full-time equivalent</w:t>
      </w:r>
      <w:r w:rsidRPr="00637BD7">
        <w:t xml:space="preserve"> apprenticeships/traineeships committed.</w:t>
      </w:r>
    </w:p>
    <w:p w:rsidR="00B83890" w:rsidRDefault="00B83890" w:rsidP="00751B3E">
      <w:pPr>
        <w:rPr>
          <w:highlight w:val="yellow"/>
        </w:rPr>
      </w:pPr>
    </w:p>
    <w:p w:rsidR="00B83890" w:rsidRDefault="00B83890" w:rsidP="00751B3E">
      <w:r w:rsidRPr="003C7885">
        <w:t>The benefits to the Victorian economy include</w:t>
      </w:r>
      <w:bookmarkEnd w:id="13"/>
      <w:bookmarkEnd w:id="14"/>
      <w:r>
        <w:rPr>
          <w:color w:val="FF0000"/>
        </w:rPr>
        <w:t xml:space="preserve"> </w:t>
      </w:r>
      <w:r>
        <w:t>promotion of employment and business growth, by expanding market opportunities for local small to medium enterprises.</w:t>
      </w:r>
    </w:p>
    <w:p w:rsidR="00B83890" w:rsidRDefault="00B83890" w:rsidP="00751B3E">
      <w:pPr>
        <w:rPr>
          <w:kern w:val="32"/>
        </w:rPr>
      </w:pPr>
    </w:p>
    <w:p w:rsidR="00B83890" w:rsidRDefault="00B83890" w:rsidP="00B83890">
      <w:pPr>
        <w:pStyle w:val="Heading2"/>
        <w:keepNext w:val="0"/>
        <w:widowControl w:val="0"/>
        <w:rPr>
          <w:i/>
          <w:kern w:val="32"/>
        </w:rPr>
      </w:pPr>
      <w:r w:rsidRPr="00CE5CB1">
        <w:rPr>
          <w:kern w:val="32"/>
        </w:rPr>
        <w:t>Consultancies</w:t>
      </w:r>
    </w:p>
    <w:p w:rsidR="00B83890" w:rsidRDefault="00B83890" w:rsidP="00B83890">
      <w:pPr>
        <w:keepNext w:val="0"/>
        <w:widowControl w:val="0"/>
      </w:pPr>
      <w:r w:rsidRPr="00C96C38">
        <w:rPr>
          <w:snapToGrid w:val="0"/>
        </w:rPr>
        <w:t>Museum Victoria did not commission any consultancies during 201</w:t>
      </w:r>
      <w:r>
        <w:rPr>
          <w:snapToGrid w:val="0"/>
        </w:rPr>
        <w:t>2</w:t>
      </w:r>
      <w:r w:rsidRPr="00C96C38">
        <w:rPr>
          <w:snapToGrid w:val="0"/>
        </w:rPr>
        <w:t>–1</w:t>
      </w:r>
      <w:r>
        <w:rPr>
          <w:snapToGrid w:val="0"/>
        </w:rPr>
        <w:t>3</w:t>
      </w:r>
      <w:r w:rsidRPr="00C96C38">
        <w:rPr>
          <w:snapToGrid w:val="0"/>
        </w:rPr>
        <w:t>.</w:t>
      </w:r>
      <w:r w:rsidRPr="00CE5CB1">
        <w:rPr>
          <w:snapToGrid w:val="0"/>
        </w:rPr>
        <w:t xml:space="preserve"> </w:t>
      </w:r>
    </w:p>
    <w:p w:rsidR="00B83890" w:rsidRDefault="00B83890" w:rsidP="00B83890">
      <w:pPr>
        <w:keepNext w:val="0"/>
        <w:widowControl w:val="0"/>
        <w:rPr>
          <w:kern w:val="32"/>
        </w:rPr>
      </w:pPr>
    </w:p>
    <w:p w:rsidR="00B83890" w:rsidRDefault="00B83890" w:rsidP="00B83890">
      <w:pPr>
        <w:pStyle w:val="Heading2"/>
        <w:keepNext w:val="0"/>
        <w:widowControl w:val="0"/>
        <w:rPr>
          <w:i/>
          <w:kern w:val="32"/>
        </w:rPr>
      </w:pPr>
      <w:r w:rsidRPr="00CE5CB1">
        <w:rPr>
          <w:kern w:val="32"/>
        </w:rPr>
        <w:t>Building and Maintenance Compliance</w:t>
      </w:r>
    </w:p>
    <w:p w:rsidR="00B83890" w:rsidRDefault="00B83890" w:rsidP="00B83890">
      <w:pPr>
        <w:keepNext w:val="0"/>
        <w:widowControl w:val="0"/>
      </w:pPr>
      <w:r w:rsidRPr="00CE5CB1">
        <w:t>At 30 June 201</w:t>
      </w:r>
      <w:r>
        <w:t>3</w:t>
      </w:r>
      <w:r w:rsidRPr="00CE5CB1">
        <w:t xml:space="preserve">, Museum Victoria was responsible for eight government-owned buildings. The museum also occupied premises at Swann House, Melbourne, as a tenant. Museum Victoria complied with all provisions of the </w:t>
      </w:r>
      <w:r w:rsidRPr="00CE5CB1">
        <w:rPr>
          <w:i/>
        </w:rPr>
        <w:t>Building Act 1993</w:t>
      </w:r>
      <w:r w:rsidRPr="00CE5CB1">
        <w:t xml:space="preserve">. </w:t>
      </w:r>
    </w:p>
    <w:p w:rsidR="00B83890" w:rsidRDefault="00B83890" w:rsidP="00B83890">
      <w:pPr>
        <w:keepNext w:val="0"/>
        <w:widowControl w:val="0"/>
      </w:pPr>
    </w:p>
    <w:p w:rsidR="00B83890" w:rsidRDefault="00B83890" w:rsidP="00B83890">
      <w:pPr>
        <w:keepNext w:val="0"/>
        <w:widowControl w:val="0"/>
      </w:pPr>
      <w:r>
        <w:t>All works undertaken by Museum Victoria during 2012–13</w:t>
      </w:r>
      <w:r w:rsidRPr="00CE5CB1">
        <w:t xml:space="preserve"> complie</w:t>
      </w:r>
      <w:r>
        <w:t>d</w:t>
      </w:r>
      <w:r w:rsidRPr="00CE5CB1">
        <w:t xml:space="preserve"> with the Building Code of Australia and with the relevant Australian standards for building and maintenance works.</w:t>
      </w:r>
    </w:p>
    <w:p w:rsidR="00B83890" w:rsidRDefault="00B83890" w:rsidP="00B83890">
      <w:pPr>
        <w:keepNext w:val="0"/>
        <w:widowControl w:val="0"/>
      </w:pPr>
    </w:p>
    <w:p w:rsidR="00B83890" w:rsidRDefault="00B83890" w:rsidP="002F6ECA">
      <w:pPr>
        <w:pStyle w:val="Heading3"/>
      </w:pPr>
      <w:r w:rsidRPr="00CE5CB1">
        <w:t>Major Works (more than $50,000)</w:t>
      </w:r>
    </w:p>
    <w:p w:rsidR="00B83890" w:rsidRDefault="00B83890" w:rsidP="002F6ECA">
      <w:pPr>
        <w:pStyle w:val="Heading3"/>
        <w:rPr>
          <w:szCs w:val="20"/>
        </w:rPr>
      </w:pPr>
      <w:r w:rsidRPr="00CE5CB1">
        <w:rPr>
          <w:szCs w:val="20"/>
        </w:rPr>
        <w:t>Melbourne Museum</w:t>
      </w:r>
    </w:p>
    <w:p w:rsidR="00B83890" w:rsidRDefault="00B83890" w:rsidP="00C14C5D">
      <w:pPr>
        <w:keepNext w:val="0"/>
        <w:widowControl w:val="0"/>
        <w:numPr>
          <w:ilvl w:val="0"/>
          <w:numId w:val="12"/>
        </w:numPr>
        <w:autoSpaceDE w:val="0"/>
        <w:autoSpaceDN w:val="0"/>
        <w:adjustRightInd w:val="0"/>
        <w:outlineLvl w:val="9"/>
        <w:rPr>
          <w:szCs w:val="20"/>
        </w:rPr>
      </w:pPr>
      <w:r>
        <w:rPr>
          <w:szCs w:val="20"/>
        </w:rPr>
        <w:t>Milarri Pond repair and filtration upgrade</w:t>
      </w:r>
    </w:p>
    <w:p w:rsidR="00B83890" w:rsidRDefault="00B83890" w:rsidP="00C14C5D">
      <w:pPr>
        <w:keepNext w:val="0"/>
        <w:widowControl w:val="0"/>
        <w:numPr>
          <w:ilvl w:val="0"/>
          <w:numId w:val="12"/>
        </w:numPr>
        <w:autoSpaceDE w:val="0"/>
        <w:autoSpaceDN w:val="0"/>
        <w:adjustRightInd w:val="0"/>
        <w:outlineLvl w:val="9"/>
        <w:rPr>
          <w:szCs w:val="20"/>
        </w:rPr>
      </w:pPr>
      <w:r>
        <w:rPr>
          <w:szCs w:val="20"/>
        </w:rPr>
        <w:t>Te Pasifika Gallery water leak repairs</w:t>
      </w:r>
    </w:p>
    <w:p w:rsidR="00B83890" w:rsidRDefault="00B83890" w:rsidP="00C14C5D">
      <w:pPr>
        <w:keepNext w:val="0"/>
        <w:widowControl w:val="0"/>
        <w:numPr>
          <w:ilvl w:val="0"/>
          <w:numId w:val="12"/>
        </w:numPr>
        <w:autoSpaceDE w:val="0"/>
        <w:autoSpaceDN w:val="0"/>
        <w:adjustRightInd w:val="0"/>
        <w:outlineLvl w:val="9"/>
        <w:rPr>
          <w:szCs w:val="20"/>
        </w:rPr>
      </w:pPr>
      <w:r>
        <w:rPr>
          <w:szCs w:val="20"/>
        </w:rPr>
        <w:t>Emergency and exit lighting upgrade and renewal works</w:t>
      </w:r>
    </w:p>
    <w:p w:rsidR="00B83890" w:rsidRDefault="00B83890" w:rsidP="00C14C5D">
      <w:pPr>
        <w:keepNext w:val="0"/>
        <w:widowControl w:val="0"/>
        <w:numPr>
          <w:ilvl w:val="0"/>
          <w:numId w:val="12"/>
        </w:numPr>
        <w:autoSpaceDE w:val="0"/>
        <w:autoSpaceDN w:val="0"/>
        <w:adjustRightInd w:val="0"/>
        <w:outlineLvl w:val="9"/>
        <w:rPr>
          <w:szCs w:val="20"/>
        </w:rPr>
      </w:pPr>
      <w:r>
        <w:rPr>
          <w:szCs w:val="20"/>
        </w:rPr>
        <w:t>Access control system repairs</w:t>
      </w:r>
    </w:p>
    <w:p w:rsidR="00B83890" w:rsidRDefault="00B83890" w:rsidP="00B83890">
      <w:pPr>
        <w:keepNext w:val="0"/>
        <w:widowControl w:val="0"/>
        <w:rPr>
          <w:szCs w:val="20"/>
        </w:rPr>
      </w:pPr>
    </w:p>
    <w:p w:rsidR="00B83890" w:rsidRDefault="00B83890" w:rsidP="002F6ECA">
      <w:pPr>
        <w:pStyle w:val="Heading3"/>
      </w:pPr>
      <w:r w:rsidRPr="00CE5CB1">
        <w:t>Royal Exhibition Building</w:t>
      </w:r>
    </w:p>
    <w:p w:rsidR="00B83890" w:rsidRDefault="00B83890" w:rsidP="00C14C5D">
      <w:pPr>
        <w:keepNext w:val="0"/>
        <w:widowControl w:val="0"/>
        <w:numPr>
          <w:ilvl w:val="0"/>
          <w:numId w:val="17"/>
        </w:numPr>
        <w:autoSpaceDE w:val="0"/>
        <w:autoSpaceDN w:val="0"/>
        <w:adjustRightInd w:val="0"/>
        <w:outlineLvl w:val="9"/>
        <w:rPr>
          <w:szCs w:val="20"/>
        </w:rPr>
      </w:pPr>
      <w:r>
        <w:rPr>
          <w:szCs w:val="20"/>
        </w:rPr>
        <w:t>Installation of new flagpoles</w:t>
      </w:r>
    </w:p>
    <w:p w:rsidR="00B83890" w:rsidRDefault="00B83890" w:rsidP="00C14C5D">
      <w:pPr>
        <w:keepNext w:val="0"/>
        <w:widowControl w:val="0"/>
        <w:numPr>
          <w:ilvl w:val="0"/>
          <w:numId w:val="17"/>
        </w:numPr>
        <w:autoSpaceDE w:val="0"/>
        <w:autoSpaceDN w:val="0"/>
        <w:adjustRightInd w:val="0"/>
        <w:outlineLvl w:val="9"/>
        <w:rPr>
          <w:szCs w:val="20"/>
        </w:rPr>
      </w:pPr>
      <w:r w:rsidRPr="00220D12">
        <w:rPr>
          <w:szCs w:val="20"/>
        </w:rPr>
        <w:t>Storm</w:t>
      </w:r>
      <w:r>
        <w:rPr>
          <w:szCs w:val="20"/>
        </w:rPr>
        <w:t>-w</w:t>
      </w:r>
      <w:r w:rsidRPr="00220D12">
        <w:rPr>
          <w:szCs w:val="20"/>
        </w:rPr>
        <w:t xml:space="preserve">ater </w:t>
      </w:r>
      <w:r>
        <w:rPr>
          <w:szCs w:val="20"/>
        </w:rPr>
        <w:t>r</w:t>
      </w:r>
      <w:r w:rsidRPr="00220D12">
        <w:rPr>
          <w:szCs w:val="20"/>
        </w:rPr>
        <w:t>emediation</w:t>
      </w:r>
      <w:r>
        <w:rPr>
          <w:szCs w:val="20"/>
        </w:rPr>
        <w:t xml:space="preserve"> works</w:t>
      </w:r>
    </w:p>
    <w:p w:rsidR="00B83890" w:rsidRDefault="00B83890" w:rsidP="00C14C5D">
      <w:pPr>
        <w:keepNext w:val="0"/>
        <w:widowControl w:val="0"/>
        <w:numPr>
          <w:ilvl w:val="0"/>
          <w:numId w:val="17"/>
        </w:numPr>
        <w:autoSpaceDE w:val="0"/>
        <w:autoSpaceDN w:val="0"/>
        <w:adjustRightInd w:val="0"/>
        <w:outlineLvl w:val="9"/>
        <w:rPr>
          <w:szCs w:val="20"/>
        </w:rPr>
      </w:pPr>
      <w:r w:rsidRPr="00220D12">
        <w:rPr>
          <w:szCs w:val="20"/>
        </w:rPr>
        <w:t xml:space="preserve">Fire and </w:t>
      </w:r>
      <w:r>
        <w:rPr>
          <w:szCs w:val="20"/>
        </w:rPr>
        <w:t>w</w:t>
      </w:r>
      <w:r w:rsidRPr="00220D12">
        <w:rPr>
          <w:szCs w:val="20"/>
        </w:rPr>
        <w:t xml:space="preserve">ater </w:t>
      </w:r>
      <w:r>
        <w:rPr>
          <w:szCs w:val="20"/>
        </w:rPr>
        <w:t>s</w:t>
      </w:r>
      <w:r w:rsidRPr="00220D12">
        <w:rPr>
          <w:szCs w:val="20"/>
        </w:rPr>
        <w:t xml:space="preserve">ystem </w:t>
      </w:r>
      <w:r>
        <w:rPr>
          <w:szCs w:val="20"/>
        </w:rPr>
        <w:t>u</w:t>
      </w:r>
      <w:r w:rsidRPr="00220D12">
        <w:rPr>
          <w:szCs w:val="20"/>
        </w:rPr>
        <w:t>pgrade</w:t>
      </w:r>
    </w:p>
    <w:p w:rsidR="00B83890" w:rsidRDefault="00B83890" w:rsidP="00B83890">
      <w:pPr>
        <w:keepNext w:val="0"/>
        <w:widowControl w:val="0"/>
        <w:rPr>
          <w:szCs w:val="20"/>
        </w:rPr>
      </w:pPr>
    </w:p>
    <w:p w:rsidR="00B83890" w:rsidRDefault="00B83890" w:rsidP="002F6ECA">
      <w:pPr>
        <w:pStyle w:val="Heading3"/>
      </w:pPr>
      <w:r w:rsidRPr="00CE5CB1">
        <w:t>Immigration Museum</w:t>
      </w:r>
    </w:p>
    <w:p w:rsidR="00B83890" w:rsidRDefault="00B83890" w:rsidP="00C14C5D">
      <w:pPr>
        <w:keepNext w:val="0"/>
        <w:widowControl w:val="0"/>
        <w:numPr>
          <w:ilvl w:val="0"/>
          <w:numId w:val="17"/>
        </w:numPr>
        <w:autoSpaceDE w:val="0"/>
        <w:autoSpaceDN w:val="0"/>
        <w:adjustRightInd w:val="0"/>
        <w:outlineLvl w:val="9"/>
        <w:rPr>
          <w:szCs w:val="20"/>
        </w:rPr>
      </w:pPr>
      <w:r w:rsidRPr="0022738C">
        <w:rPr>
          <w:szCs w:val="20"/>
        </w:rPr>
        <w:t xml:space="preserve">Gallery </w:t>
      </w:r>
      <w:r>
        <w:rPr>
          <w:szCs w:val="20"/>
        </w:rPr>
        <w:t>f</w:t>
      </w:r>
      <w:r w:rsidRPr="0022738C">
        <w:rPr>
          <w:szCs w:val="20"/>
        </w:rPr>
        <w:t xml:space="preserve">loor </w:t>
      </w:r>
      <w:r>
        <w:rPr>
          <w:szCs w:val="20"/>
        </w:rPr>
        <w:t xml:space="preserve">repair and </w:t>
      </w:r>
      <w:r w:rsidRPr="0022738C">
        <w:rPr>
          <w:szCs w:val="20"/>
        </w:rPr>
        <w:t>refurbishment</w:t>
      </w:r>
    </w:p>
    <w:p w:rsidR="00B83890" w:rsidRDefault="00B83890" w:rsidP="00C14C5D">
      <w:pPr>
        <w:keepNext w:val="0"/>
        <w:widowControl w:val="0"/>
        <w:numPr>
          <w:ilvl w:val="0"/>
          <w:numId w:val="17"/>
        </w:numPr>
        <w:autoSpaceDE w:val="0"/>
        <w:autoSpaceDN w:val="0"/>
        <w:adjustRightInd w:val="0"/>
        <w:outlineLvl w:val="9"/>
        <w:rPr>
          <w:szCs w:val="20"/>
        </w:rPr>
      </w:pPr>
      <w:r>
        <w:rPr>
          <w:szCs w:val="20"/>
        </w:rPr>
        <w:t xml:space="preserve">Roof repair and refurbishment </w:t>
      </w:r>
    </w:p>
    <w:p w:rsidR="00B83890" w:rsidRDefault="00B83890" w:rsidP="00B83890">
      <w:pPr>
        <w:keepNext w:val="0"/>
        <w:widowControl w:val="0"/>
        <w:rPr>
          <w:b/>
          <w:szCs w:val="20"/>
        </w:rPr>
      </w:pPr>
    </w:p>
    <w:p w:rsidR="00B83890" w:rsidRDefault="00B83890" w:rsidP="002F6ECA">
      <w:pPr>
        <w:pStyle w:val="Heading3"/>
      </w:pPr>
      <w:r w:rsidRPr="00CE5CB1">
        <w:t>Scienceworks</w:t>
      </w:r>
      <w:r>
        <w:t xml:space="preserve"> and Adjacent Site</w:t>
      </w:r>
    </w:p>
    <w:p w:rsidR="00B83890" w:rsidRDefault="00B83890" w:rsidP="00C14C5D">
      <w:pPr>
        <w:keepNext w:val="0"/>
        <w:widowControl w:val="0"/>
        <w:numPr>
          <w:ilvl w:val="0"/>
          <w:numId w:val="16"/>
        </w:numPr>
        <w:autoSpaceDE w:val="0"/>
        <w:autoSpaceDN w:val="0"/>
        <w:adjustRightInd w:val="0"/>
        <w:outlineLvl w:val="1"/>
        <w:rPr>
          <w:rFonts w:cs="Arial"/>
          <w:bCs/>
          <w:iCs/>
          <w:kern w:val="32"/>
          <w:szCs w:val="40"/>
        </w:rPr>
      </w:pPr>
      <w:r>
        <w:rPr>
          <w:rFonts w:cs="Arial"/>
          <w:bCs/>
          <w:iCs/>
          <w:kern w:val="32"/>
          <w:szCs w:val="40"/>
        </w:rPr>
        <w:t>Works to create an overflow car park</w:t>
      </w:r>
    </w:p>
    <w:p w:rsidR="00B83890" w:rsidRDefault="00B83890" w:rsidP="00B83890">
      <w:pPr>
        <w:keepNext w:val="0"/>
        <w:widowControl w:val="0"/>
        <w:autoSpaceDE w:val="0"/>
        <w:autoSpaceDN w:val="0"/>
        <w:adjustRightInd w:val="0"/>
        <w:ind w:left="360"/>
        <w:outlineLvl w:val="1"/>
        <w:rPr>
          <w:rFonts w:cs="Arial"/>
          <w:bCs/>
          <w:iCs/>
          <w:kern w:val="32"/>
          <w:szCs w:val="40"/>
        </w:rPr>
      </w:pPr>
    </w:p>
    <w:p w:rsidR="00B83890" w:rsidRPr="009C1080" w:rsidRDefault="00B83890" w:rsidP="009C1080">
      <w:pPr>
        <w:pStyle w:val="Heading2"/>
      </w:pPr>
      <w:r w:rsidRPr="009C1080">
        <w:lastRenderedPageBreak/>
        <w:t>Protected Disclosure Act 2012</w:t>
      </w:r>
    </w:p>
    <w:p w:rsidR="00B83890" w:rsidRDefault="00B83890" w:rsidP="00B83890">
      <w:r w:rsidRPr="0033495F">
        <w:t xml:space="preserve">On 10 February 2013, the </w:t>
      </w:r>
      <w:r w:rsidRPr="0033495F">
        <w:rPr>
          <w:i/>
        </w:rPr>
        <w:t>Whistleblowers Protection Act 2001</w:t>
      </w:r>
      <w:r w:rsidRPr="0033495F">
        <w:t xml:space="preserve"> was repealed and replaced with the </w:t>
      </w:r>
      <w:r w:rsidRPr="0033495F">
        <w:rPr>
          <w:i/>
        </w:rPr>
        <w:t xml:space="preserve">Protected Disclosure Act 2012 </w:t>
      </w:r>
      <w:r>
        <w:t xml:space="preserve">(the Act). </w:t>
      </w:r>
      <w:r w:rsidRPr="0033495F">
        <w:t>The Act establishes a new scheme for protecting people who make disclosures about improper conduct in the public sector.</w:t>
      </w:r>
    </w:p>
    <w:p w:rsidR="00B83890" w:rsidRDefault="00B83890" w:rsidP="00B83890"/>
    <w:p w:rsidR="00B83890" w:rsidRPr="00637BD7" w:rsidRDefault="00B83890" w:rsidP="00B83890">
      <w:r w:rsidRPr="00637BD7">
        <w:t>Museum Victoria is committed to the aims and objectives of the Act. In particular, Museum Victoria does not tolerate improper conduct by its staff or the taking of reprisals against those who come forward to disclose such conduct.</w:t>
      </w:r>
    </w:p>
    <w:p w:rsidR="00B83890" w:rsidRPr="00637BD7" w:rsidRDefault="00B83890" w:rsidP="00B83890"/>
    <w:p w:rsidR="00B83890" w:rsidRPr="00637BD7" w:rsidRDefault="00B83890" w:rsidP="00B83890">
      <w:pPr>
        <w:pStyle w:val="Heading3"/>
      </w:pPr>
      <w:r w:rsidRPr="00637BD7">
        <w:t xml:space="preserve">Disclosures under the </w:t>
      </w:r>
      <w:r w:rsidRPr="00637BD7">
        <w:rPr>
          <w:i/>
        </w:rPr>
        <w:t>Whistleblowers Protection Act 2001</w:t>
      </w:r>
      <w:r w:rsidRPr="00637BD7">
        <w:t xml:space="preserve"> prior to 10 February 2013</w:t>
      </w:r>
    </w:p>
    <w:p w:rsidR="00B83890" w:rsidRPr="00637BD7" w:rsidRDefault="00B83890" w:rsidP="00B83890">
      <w:r w:rsidRPr="00637BD7">
        <w:t xml:space="preserve">During the year while the </w:t>
      </w:r>
      <w:r w:rsidRPr="00637BD7">
        <w:rPr>
          <w:i/>
        </w:rPr>
        <w:t>Whistleblowers Protection Act 2001</w:t>
      </w:r>
      <w:r w:rsidRPr="00637BD7">
        <w:t xml:space="preserve"> was in force:</w:t>
      </w:r>
    </w:p>
    <w:p w:rsidR="00B83890" w:rsidRPr="00637BD7" w:rsidRDefault="00B83890" w:rsidP="00C14C5D">
      <w:pPr>
        <w:pStyle w:val="ListParagraph"/>
        <w:numPr>
          <w:ilvl w:val="0"/>
          <w:numId w:val="16"/>
        </w:numPr>
      </w:pPr>
      <w:r w:rsidRPr="00637BD7">
        <w:t>Museum Victoria did not receive any disclosures under that Act</w:t>
      </w:r>
    </w:p>
    <w:p w:rsidR="00B83890" w:rsidRPr="00637BD7" w:rsidRDefault="00B83890" w:rsidP="00C14C5D">
      <w:pPr>
        <w:pStyle w:val="ListParagraph"/>
        <w:numPr>
          <w:ilvl w:val="0"/>
          <w:numId w:val="16"/>
        </w:numPr>
      </w:pPr>
      <w:r w:rsidRPr="00637BD7">
        <w:t>Museum Victoria did not refer any disclosures to the Ombudsman to determine whether they were public interest disclosures</w:t>
      </w:r>
    </w:p>
    <w:p w:rsidR="00B83890" w:rsidRPr="00637BD7" w:rsidRDefault="00B83890" w:rsidP="00C14C5D">
      <w:pPr>
        <w:pStyle w:val="ListParagraph"/>
        <w:numPr>
          <w:ilvl w:val="0"/>
          <w:numId w:val="16"/>
        </w:numPr>
      </w:pPr>
      <w:r w:rsidRPr="00637BD7">
        <w:t>the Ombudsman did not refer any disclosures to Museum Victoria</w:t>
      </w:r>
    </w:p>
    <w:p w:rsidR="00B83890" w:rsidRPr="00637BD7" w:rsidRDefault="00B83890" w:rsidP="00C14C5D">
      <w:pPr>
        <w:pStyle w:val="ListParagraph"/>
        <w:numPr>
          <w:ilvl w:val="0"/>
          <w:numId w:val="16"/>
        </w:numPr>
      </w:pPr>
      <w:r w:rsidRPr="00637BD7">
        <w:t>Museum Victoria did not refer any disclosures to the Ombudsman to investigate</w:t>
      </w:r>
    </w:p>
    <w:p w:rsidR="00B83890" w:rsidRPr="00637BD7" w:rsidRDefault="00B83890" w:rsidP="00C14C5D">
      <w:pPr>
        <w:pStyle w:val="ListParagraph"/>
        <w:numPr>
          <w:ilvl w:val="0"/>
          <w:numId w:val="16"/>
        </w:numPr>
      </w:pPr>
      <w:r w:rsidRPr="00637BD7">
        <w:t>the Ombudsman did not take over any investigations of disclosures from Museum Victoria</w:t>
      </w:r>
    </w:p>
    <w:p w:rsidR="00B83890" w:rsidRPr="00637BD7" w:rsidRDefault="00B83890" w:rsidP="00C14C5D">
      <w:pPr>
        <w:pStyle w:val="ListParagraph"/>
        <w:numPr>
          <w:ilvl w:val="0"/>
          <w:numId w:val="16"/>
        </w:numPr>
      </w:pPr>
      <w:r w:rsidRPr="00637BD7">
        <w:t>Museum Victoria did not make a request under section 74 of that Act to the Ombudsman to investigate disclosures</w:t>
      </w:r>
    </w:p>
    <w:p w:rsidR="00B83890" w:rsidRPr="00637BD7" w:rsidRDefault="00B83890" w:rsidP="00C14C5D">
      <w:pPr>
        <w:pStyle w:val="ListParagraph"/>
        <w:numPr>
          <w:ilvl w:val="0"/>
          <w:numId w:val="16"/>
        </w:numPr>
      </w:pPr>
      <w:r w:rsidRPr="00637BD7">
        <w:t>Museum Victoria did not decline to investigate a disclosure</w:t>
      </w:r>
    </w:p>
    <w:p w:rsidR="00B83890" w:rsidRPr="00637BD7" w:rsidRDefault="00B83890" w:rsidP="00C14C5D">
      <w:pPr>
        <w:pStyle w:val="ListParagraph"/>
        <w:numPr>
          <w:ilvl w:val="0"/>
          <w:numId w:val="16"/>
        </w:numPr>
      </w:pPr>
      <w:r w:rsidRPr="00637BD7">
        <w:t>there were no disclosures that were substantiated on investigation and there was no requirement to take action on completion of an investigation</w:t>
      </w:r>
    </w:p>
    <w:p w:rsidR="00B83890" w:rsidRPr="00637BD7" w:rsidRDefault="00B83890" w:rsidP="00C14C5D">
      <w:pPr>
        <w:pStyle w:val="ListParagraph"/>
        <w:numPr>
          <w:ilvl w:val="0"/>
          <w:numId w:val="16"/>
        </w:numPr>
      </w:pPr>
      <w:r w:rsidRPr="00637BD7">
        <w:t>the Ombudsman has not made a recommendation under that</w:t>
      </w:r>
      <w:r w:rsidRPr="00637BD7">
        <w:rPr>
          <w:i/>
        </w:rPr>
        <w:t xml:space="preserve"> </w:t>
      </w:r>
      <w:r w:rsidRPr="00637BD7">
        <w:t>Act that relates to the Museum Victoria.</w:t>
      </w:r>
    </w:p>
    <w:p w:rsidR="00B83890" w:rsidRPr="00637BD7" w:rsidRDefault="00B83890" w:rsidP="00B83890"/>
    <w:p w:rsidR="00B83890" w:rsidRPr="00637BD7" w:rsidRDefault="00B83890" w:rsidP="00B83890">
      <w:r w:rsidRPr="00637BD7">
        <w:t>Since 10 February 2013, Museum Victoria has not received any disclosures to which clause 29 of Schedule 1 to the Act</w:t>
      </w:r>
      <w:r w:rsidRPr="00637BD7">
        <w:rPr>
          <w:i/>
        </w:rPr>
        <w:t xml:space="preserve"> </w:t>
      </w:r>
      <w:r w:rsidRPr="00637BD7">
        <w:t>applies.</w:t>
      </w:r>
    </w:p>
    <w:p w:rsidR="00B83890" w:rsidRPr="00637BD7" w:rsidRDefault="00B83890" w:rsidP="00B83890"/>
    <w:p w:rsidR="00B83890" w:rsidRPr="00637BD7" w:rsidRDefault="00B83890" w:rsidP="00B83890">
      <w:pPr>
        <w:pStyle w:val="Heading3"/>
      </w:pPr>
      <w:r w:rsidRPr="00637BD7">
        <w:t>Compliance with the Protected Disclosure Act 2012</w:t>
      </w:r>
    </w:p>
    <w:p w:rsidR="00B83890" w:rsidRDefault="00B83890" w:rsidP="00B83890">
      <w:r w:rsidRPr="00637BD7">
        <w:t>Museum Victoria is not a public body to which disclosures may be made.  Disclosures of improper conduct or detrimental action relating to Museum Victoria</w:t>
      </w:r>
      <w:r w:rsidRPr="0033495F">
        <w:rPr>
          <w:color w:val="FF0000"/>
        </w:rPr>
        <w:t xml:space="preserve"> </w:t>
      </w:r>
      <w:r w:rsidRPr="0033495F">
        <w:t xml:space="preserve">should generally be made to the Independent Broad-based Anti-corruption Commission (IBAC). Further information about making disclosures to the IBAC can be found at </w:t>
      </w:r>
      <w:hyperlink r:id="rId16" w:history="1">
        <w:r w:rsidR="006E6DC8">
          <w:rPr>
            <w:rStyle w:val="Hyperlink"/>
            <w:rFonts w:eastAsiaTheme="majorEastAsia"/>
          </w:rPr>
          <w:t>IBAC's website</w:t>
        </w:r>
      </w:hyperlink>
      <w:r w:rsidR="006E6DC8">
        <w:t xml:space="preserve"> (www.ibac.vic.gov.au).</w:t>
      </w:r>
    </w:p>
    <w:p w:rsidR="00B83890" w:rsidRPr="0033495F" w:rsidRDefault="00B83890" w:rsidP="00B83890"/>
    <w:p w:rsidR="00B83890" w:rsidRPr="0033495F" w:rsidRDefault="00B83890" w:rsidP="00B83890">
      <w:r w:rsidRPr="0033495F">
        <w:t xml:space="preserve">As required by s.58(5) of the Act, </w:t>
      </w:r>
      <w:r w:rsidRPr="00637BD7">
        <w:t>Museum Victoria will</w:t>
      </w:r>
      <w:r w:rsidRPr="0033495F">
        <w:t xml:space="preserve"> make available on its website </w:t>
      </w:r>
      <w:hyperlink r:id="rId17" w:history="1">
        <w:r w:rsidR="006E6DC8">
          <w:rPr>
            <w:rStyle w:val="Hyperlink"/>
            <w:rFonts w:eastAsiaTheme="majorEastAsia"/>
          </w:rPr>
          <w:t>Museum Victoria's website</w:t>
        </w:r>
      </w:hyperlink>
      <w:r>
        <w:t xml:space="preserve"> </w:t>
      </w:r>
      <w:r w:rsidR="006E6DC8">
        <w:t>(</w:t>
      </w:r>
      <w:r w:rsidR="006E6DC8" w:rsidRPr="006E6DC8">
        <w:t>www.museumvictoria.com.au</w:t>
      </w:r>
      <w:r w:rsidR="006E6DC8">
        <w:t xml:space="preserve">) </w:t>
      </w:r>
      <w:r w:rsidRPr="0033495F">
        <w:t xml:space="preserve">procedures for protecting people who make protected disclosures from detrimental action by </w:t>
      </w:r>
      <w:r w:rsidRPr="00637BD7">
        <w:t>Museum Victoria or</w:t>
      </w:r>
      <w:r w:rsidRPr="0033495F">
        <w:t xml:space="preserve"> its staff.</w:t>
      </w:r>
    </w:p>
    <w:p w:rsidR="00B83890" w:rsidRPr="00CE5CB1" w:rsidRDefault="00B83890" w:rsidP="00B83890"/>
    <w:p w:rsidR="00B83890" w:rsidRDefault="00B83890" w:rsidP="00B83890">
      <w:pPr>
        <w:pStyle w:val="Heading2"/>
        <w:rPr>
          <w:i/>
          <w:kern w:val="32"/>
        </w:rPr>
      </w:pPr>
      <w:r w:rsidRPr="00CE5CB1">
        <w:rPr>
          <w:kern w:val="32"/>
        </w:rPr>
        <w:t>Fees and Charges</w:t>
      </w:r>
    </w:p>
    <w:p w:rsidR="00B83890" w:rsidRDefault="00B83890" w:rsidP="00B83890">
      <w:pPr>
        <w:pStyle w:val="Heading3"/>
        <w:rPr>
          <w:kern w:val="32"/>
        </w:rPr>
      </w:pPr>
      <w:r w:rsidRPr="00CE5CB1">
        <w:rPr>
          <w:kern w:val="32"/>
        </w:rPr>
        <w:t>Museum Prices</w:t>
      </w:r>
    </w:p>
    <w:tbl>
      <w:tblPr>
        <w:tblW w:w="0" w:type="auto"/>
        <w:tblLook w:val="01E0" w:firstRow="1" w:lastRow="1" w:firstColumn="1" w:lastColumn="1" w:noHBand="0" w:noVBand="0"/>
        <w:tblCaption w:val="Fees and Charges"/>
        <w:tblDescription w:val="This table shows the fees and charges for Museum Victoria."/>
      </w:tblPr>
      <w:tblGrid>
        <w:gridCol w:w="3348"/>
        <w:gridCol w:w="1724"/>
        <w:gridCol w:w="1725"/>
        <w:gridCol w:w="1725"/>
      </w:tblGrid>
      <w:tr w:rsidR="00B83890" w:rsidRPr="0061080D" w:rsidTr="00E1167D">
        <w:trPr>
          <w:tblHeader/>
        </w:trPr>
        <w:tc>
          <w:tcPr>
            <w:tcW w:w="3348" w:type="dxa"/>
          </w:tcPr>
          <w:p w:rsidR="00B83890" w:rsidRPr="0061080D" w:rsidRDefault="00B83890" w:rsidP="006E6DC8">
            <w:pPr>
              <w:rPr>
                <w:b/>
              </w:rPr>
            </w:pPr>
          </w:p>
        </w:tc>
        <w:tc>
          <w:tcPr>
            <w:tcW w:w="1724" w:type="dxa"/>
          </w:tcPr>
          <w:p w:rsidR="00B83890" w:rsidRPr="0061080D" w:rsidRDefault="00B83890" w:rsidP="006E6DC8">
            <w:pPr>
              <w:rPr>
                <w:b/>
              </w:rPr>
            </w:pPr>
            <w:r w:rsidRPr="00DF6256">
              <w:rPr>
                <w:b/>
              </w:rPr>
              <w:t>Adult</w:t>
            </w:r>
          </w:p>
        </w:tc>
        <w:tc>
          <w:tcPr>
            <w:tcW w:w="1725" w:type="dxa"/>
          </w:tcPr>
          <w:p w:rsidR="00B83890" w:rsidRPr="0061080D" w:rsidRDefault="00B83890" w:rsidP="006E6DC8">
            <w:pPr>
              <w:rPr>
                <w:b/>
              </w:rPr>
            </w:pPr>
            <w:r w:rsidRPr="00DF6256">
              <w:rPr>
                <w:b/>
              </w:rPr>
              <w:t>Child</w:t>
            </w:r>
          </w:p>
        </w:tc>
        <w:tc>
          <w:tcPr>
            <w:tcW w:w="1725" w:type="dxa"/>
          </w:tcPr>
          <w:p w:rsidR="00B83890" w:rsidRPr="0061080D" w:rsidRDefault="00B83890" w:rsidP="006E6DC8">
            <w:pPr>
              <w:rPr>
                <w:b/>
              </w:rPr>
            </w:pPr>
            <w:r w:rsidRPr="00DF6256">
              <w:rPr>
                <w:b/>
              </w:rPr>
              <w:t>Concession</w:t>
            </w:r>
          </w:p>
        </w:tc>
      </w:tr>
      <w:tr w:rsidR="00B83890" w:rsidRPr="00CE5CB1" w:rsidTr="006E6DC8">
        <w:tc>
          <w:tcPr>
            <w:tcW w:w="3348" w:type="dxa"/>
          </w:tcPr>
          <w:p w:rsidR="00B83890" w:rsidRPr="00CE5CB1" w:rsidRDefault="00B83890" w:rsidP="006E6DC8">
            <w:r w:rsidRPr="00CE5CB1">
              <w:t>Melbourne Museum</w:t>
            </w:r>
          </w:p>
        </w:tc>
        <w:tc>
          <w:tcPr>
            <w:tcW w:w="1724" w:type="dxa"/>
          </w:tcPr>
          <w:p w:rsidR="00B83890" w:rsidRPr="00CE5CB1" w:rsidRDefault="00B83890" w:rsidP="006E6DC8">
            <w:r w:rsidRPr="00CE5CB1">
              <w:t>$</w:t>
            </w:r>
            <w:r>
              <w:t>10</w:t>
            </w:r>
            <w:r w:rsidRPr="00CE5CB1">
              <w:t>.00</w:t>
            </w:r>
          </w:p>
        </w:tc>
        <w:tc>
          <w:tcPr>
            <w:tcW w:w="1725" w:type="dxa"/>
          </w:tcPr>
          <w:p w:rsidR="00B83890" w:rsidRPr="00CE5CB1" w:rsidRDefault="00B83890" w:rsidP="006E6DC8">
            <w:r w:rsidRPr="00CE5CB1">
              <w:t>$0.00</w:t>
            </w:r>
          </w:p>
        </w:tc>
        <w:tc>
          <w:tcPr>
            <w:tcW w:w="1725" w:type="dxa"/>
          </w:tcPr>
          <w:p w:rsidR="00B83890" w:rsidRPr="00CE5CB1" w:rsidRDefault="00B83890" w:rsidP="006E6DC8">
            <w:r w:rsidRPr="00CE5CB1">
              <w:t>$0.00</w:t>
            </w:r>
          </w:p>
        </w:tc>
      </w:tr>
      <w:tr w:rsidR="00B83890" w:rsidRPr="00CE5CB1" w:rsidTr="006E6DC8">
        <w:tc>
          <w:tcPr>
            <w:tcW w:w="3348" w:type="dxa"/>
          </w:tcPr>
          <w:p w:rsidR="00B83890" w:rsidRPr="00CE5CB1" w:rsidRDefault="00B83890" w:rsidP="006E6DC8">
            <w:r w:rsidRPr="00CE5CB1">
              <w:t>IMAX</w:t>
            </w:r>
            <w:r>
              <w:t xml:space="preserve"> (regular-length films)</w:t>
            </w:r>
          </w:p>
        </w:tc>
        <w:tc>
          <w:tcPr>
            <w:tcW w:w="1724" w:type="dxa"/>
          </w:tcPr>
          <w:p w:rsidR="00B83890" w:rsidRPr="00CE5CB1" w:rsidRDefault="00B83890" w:rsidP="006E6DC8">
            <w:r w:rsidRPr="00CE5CB1">
              <w:t>$18.00</w:t>
            </w:r>
          </w:p>
        </w:tc>
        <w:tc>
          <w:tcPr>
            <w:tcW w:w="1725" w:type="dxa"/>
          </w:tcPr>
          <w:p w:rsidR="00B83890" w:rsidRPr="00CE5CB1" w:rsidRDefault="00B83890" w:rsidP="006E6DC8">
            <w:r w:rsidRPr="00CE5CB1">
              <w:t>$13.50</w:t>
            </w:r>
          </w:p>
        </w:tc>
        <w:tc>
          <w:tcPr>
            <w:tcW w:w="1725" w:type="dxa"/>
          </w:tcPr>
          <w:p w:rsidR="00B83890" w:rsidRPr="00CE5CB1" w:rsidRDefault="00B83890" w:rsidP="006E6DC8">
            <w:r w:rsidRPr="00CE5CB1">
              <w:t>$14.50</w:t>
            </w:r>
          </w:p>
        </w:tc>
      </w:tr>
      <w:tr w:rsidR="00B83890" w:rsidRPr="00CE5CB1" w:rsidTr="006E6DC8">
        <w:tc>
          <w:tcPr>
            <w:tcW w:w="3348" w:type="dxa"/>
          </w:tcPr>
          <w:p w:rsidR="00B83890" w:rsidRPr="00CE5CB1" w:rsidRDefault="00B83890" w:rsidP="006E6DC8">
            <w:r>
              <w:t>IMAX (feature-length films)</w:t>
            </w:r>
          </w:p>
        </w:tc>
        <w:tc>
          <w:tcPr>
            <w:tcW w:w="1724" w:type="dxa"/>
          </w:tcPr>
          <w:p w:rsidR="00B83890" w:rsidRPr="00CE5CB1" w:rsidRDefault="00B83890" w:rsidP="006E6DC8">
            <w:r>
              <w:t>$26.50</w:t>
            </w:r>
          </w:p>
        </w:tc>
        <w:tc>
          <w:tcPr>
            <w:tcW w:w="1725" w:type="dxa"/>
          </w:tcPr>
          <w:p w:rsidR="00B83890" w:rsidRPr="00CE5CB1" w:rsidRDefault="00B83890" w:rsidP="006E6DC8">
            <w:r>
              <w:t>$19.00</w:t>
            </w:r>
          </w:p>
        </w:tc>
        <w:tc>
          <w:tcPr>
            <w:tcW w:w="1725" w:type="dxa"/>
          </w:tcPr>
          <w:p w:rsidR="00B83890" w:rsidRPr="00CE5CB1" w:rsidRDefault="00B83890" w:rsidP="006E6DC8">
            <w:r>
              <w:t>$22.50</w:t>
            </w:r>
          </w:p>
        </w:tc>
      </w:tr>
      <w:tr w:rsidR="00B83890" w:rsidRPr="00CE5CB1" w:rsidTr="006E6DC8">
        <w:trPr>
          <w:trHeight w:val="162"/>
        </w:trPr>
        <w:tc>
          <w:tcPr>
            <w:tcW w:w="3348" w:type="dxa"/>
          </w:tcPr>
          <w:p w:rsidR="00B83890" w:rsidRDefault="00B83890" w:rsidP="006E6DC8">
            <w:r w:rsidRPr="00CE5CB1">
              <w:t xml:space="preserve">Scienceworks </w:t>
            </w:r>
          </w:p>
        </w:tc>
        <w:tc>
          <w:tcPr>
            <w:tcW w:w="1724" w:type="dxa"/>
          </w:tcPr>
          <w:p w:rsidR="00B83890" w:rsidRPr="00CE5CB1" w:rsidRDefault="00B83890" w:rsidP="006E6DC8">
            <w:r w:rsidRPr="00CE5CB1">
              <w:t>$</w:t>
            </w:r>
            <w:r>
              <w:t>10</w:t>
            </w:r>
            <w:r w:rsidRPr="00CE5CB1">
              <w:t>.00</w:t>
            </w:r>
          </w:p>
        </w:tc>
        <w:tc>
          <w:tcPr>
            <w:tcW w:w="1725" w:type="dxa"/>
          </w:tcPr>
          <w:p w:rsidR="00B83890" w:rsidRPr="00CE5CB1" w:rsidRDefault="00B83890" w:rsidP="006E6DC8">
            <w:r w:rsidRPr="00CE5CB1">
              <w:t>$0.00</w:t>
            </w:r>
          </w:p>
        </w:tc>
        <w:tc>
          <w:tcPr>
            <w:tcW w:w="1725" w:type="dxa"/>
          </w:tcPr>
          <w:p w:rsidR="00B83890" w:rsidRPr="00CE5CB1" w:rsidRDefault="00B83890" w:rsidP="006E6DC8">
            <w:r w:rsidRPr="00CE5CB1">
              <w:t>$0.00</w:t>
            </w:r>
          </w:p>
        </w:tc>
      </w:tr>
      <w:tr w:rsidR="00B83890" w:rsidRPr="00CE5CB1" w:rsidTr="006E6DC8">
        <w:tc>
          <w:tcPr>
            <w:tcW w:w="3348" w:type="dxa"/>
          </w:tcPr>
          <w:p w:rsidR="00B83890" w:rsidRPr="00CE5CB1" w:rsidRDefault="00B83890" w:rsidP="006E6DC8">
            <w:r w:rsidRPr="00CE5CB1">
              <w:t>Melbourne Planetarium</w:t>
            </w:r>
          </w:p>
        </w:tc>
        <w:tc>
          <w:tcPr>
            <w:tcW w:w="1724" w:type="dxa"/>
          </w:tcPr>
          <w:p w:rsidR="00B83890" w:rsidRPr="00CE5CB1" w:rsidRDefault="00B83890" w:rsidP="006E6DC8">
            <w:r w:rsidRPr="00CE5CB1">
              <w:t>$6.00</w:t>
            </w:r>
          </w:p>
        </w:tc>
        <w:tc>
          <w:tcPr>
            <w:tcW w:w="1725" w:type="dxa"/>
          </w:tcPr>
          <w:p w:rsidR="00B83890" w:rsidRPr="00CE5CB1" w:rsidRDefault="00B83890" w:rsidP="006E6DC8">
            <w:r w:rsidRPr="00CE5CB1">
              <w:t>$4.50</w:t>
            </w:r>
          </w:p>
        </w:tc>
        <w:tc>
          <w:tcPr>
            <w:tcW w:w="1725" w:type="dxa"/>
          </w:tcPr>
          <w:p w:rsidR="00B83890" w:rsidRPr="00CE5CB1" w:rsidRDefault="00B83890" w:rsidP="006E6DC8">
            <w:r w:rsidRPr="00CE5CB1">
              <w:t>$5.00</w:t>
            </w:r>
          </w:p>
        </w:tc>
      </w:tr>
      <w:tr w:rsidR="00B83890" w:rsidRPr="00CE5CB1" w:rsidTr="006E6DC8">
        <w:tc>
          <w:tcPr>
            <w:tcW w:w="3348" w:type="dxa"/>
          </w:tcPr>
          <w:p w:rsidR="00B83890" w:rsidRPr="00CE5CB1" w:rsidRDefault="00B83890" w:rsidP="006E6DC8">
            <w:r w:rsidRPr="00CE5CB1">
              <w:t>Lightning Room</w:t>
            </w:r>
          </w:p>
        </w:tc>
        <w:tc>
          <w:tcPr>
            <w:tcW w:w="1724" w:type="dxa"/>
          </w:tcPr>
          <w:p w:rsidR="00B83890" w:rsidRPr="00CE5CB1" w:rsidRDefault="00B83890" w:rsidP="006E6DC8">
            <w:r w:rsidRPr="00CE5CB1">
              <w:t>$6.00</w:t>
            </w:r>
          </w:p>
        </w:tc>
        <w:tc>
          <w:tcPr>
            <w:tcW w:w="1725" w:type="dxa"/>
          </w:tcPr>
          <w:p w:rsidR="00B83890" w:rsidRPr="00CE5CB1" w:rsidRDefault="00B83890" w:rsidP="006E6DC8">
            <w:r w:rsidRPr="00CE5CB1">
              <w:t>$4.50</w:t>
            </w:r>
          </w:p>
        </w:tc>
        <w:tc>
          <w:tcPr>
            <w:tcW w:w="1725" w:type="dxa"/>
          </w:tcPr>
          <w:p w:rsidR="00B83890" w:rsidRPr="00CE5CB1" w:rsidRDefault="00B83890" w:rsidP="006E6DC8">
            <w:r w:rsidRPr="00CE5CB1">
              <w:t>$5.00</w:t>
            </w:r>
          </w:p>
        </w:tc>
      </w:tr>
      <w:tr w:rsidR="00B83890" w:rsidRPr="00CE5CB1" w:rsidTr="006E6DC8">
        <w:tc>
          <w:tcPr>
            <w:tcW w:w="3348" w:type="dxa"/>
          </w:tcPr>
          <w:p w:rsidR="00B83890" w:rsidRPr="00CE5CB1" w:rsidRDefault="00B83890" w:rsidP="006E6DC8">
            <w:r w:rsidRPr="00CE5CB1">
              <w:t>Immigration Museum</w:t>
            </w:r>
          </w:p>
        </w:tc>
        <w:tc>
          <w:tcPr>
            <w:tcW w:w="1724" w:type="dxa"/>
          </w:tcPr>
          <w:p w:rsidR="00B83890" w:rsidRPr="00CE5CB1" w:rsidRDefault="00B83890" w:rsidP="006E6DC8">
            <w:r w:rsidRPr="00CE5CB1">
              <w:t>$</w:t>
            </w:r>
            <w:r>
              <w:t>10</w:t>
            </w:r>
            <w:r w:rsidRPr="00CE5CB1">
              <w:t>.00</w:t>
            </w:r>
          </w:p>
        </w:tc>
        <w:tc>
          <w:tcPr>
            <w:tcW w:w="1725" w:type="dxa"/>
          </w:tcPr>
          <w:p w:rsidR="00B83890" w:rsidRPr="00CE5CB1" w:rsidRDefault="00B83890" w:rsidP="006E6DC8">
            <w:r w:rsidRPr="00CE5CB1">
              <w:t>$0.00</w:t>
            </w:r>
          </w:p>
        </w:tc>
        <w:tc>
          <w:tcPr>
            <w:tcW w:w="1725" w:type="dxa"/>
          </w:tcPr>
          <w:p w:rsidR="00B83890" w:rsidRPr="00CE5CB1" w:rsidRDefault="00B83890" w:rsidP="006E6DC8">
            <w:r w:rsidRPr="00CE5CB1">
              <w:t>$0.00</w:t>
            </w:r>
          </w:p>
        </w:tc>
      </w:tr>
    </w:tbl>
    <w:p w:rsidR="00B83890" w:rsidRPr="00CE5CB1" w:rsidRDefault="00B83890" w:rsidP="00B83890"/>
    <w:p w:rsidR="00B83890" w:rsidRDefault="00B83890" w:rsidP="00B83890">
      <w:r w:rsidRPr="003C7885">
        <w:t>Notes:</w:t>
      </w:r>
    </w:p>
    <w:p w:rsidR="00B83890" w:rsidRDefault="00B83890" w:rsidP="00B83890">
      <w:r w:rsidRPr="00CE5CB1">
        <w:t>Prices are as at 30 June 201</w:t>
      </w:r>
      <w:r>
        <w:t>3</w:t>
      </w:r>
      <w:r w:rsidRPr="00CE5CB1">
        <w:t>.</w:t>
      </w:r>
    </w:p>
    <w:p w:rsidR="00B83890" w:rsidRDefault="00B83890" w:rsidP="00B83890">
      <w:r w:rsidRPr="00CE5CB1">
        <w:t>Tours of the Royal Exhibition Building are $5.00 per adult, $3.50 per child/concession.</w:t>
      </w:r>
    </w:p>
    <w:p w:rsidR="00B83890" w:rsidRDefault="00B83890" w:rsidP="00B83890">
      <w:r w:rsidRPr="00CE5CB1">
        <w:t xml:space="preserve">Special fees apply for various ticket options, such as combined IMAX Theatre, Melbourne Planetarium, </w:t>
      </w:r>
      <w:r>
        <w:t>Lightning Room</w:t>
      </w:r>
      <w:r w:rsidRPr="00CE5CB1">
        <w:t xml:space="preserve"> and school bookings, tour groups, special activities and programs. Surcharges apply for some special touring exhibitions.</w:t>
      </w:r>
    </w:p>
    <w:p w:rsidR="00B83890" w:rsidRDefault="00B83890" w:rsidP="00B83890"/>
    <w:p w:rsidR="00B83890" w:rsidRPr="00CE5CB1" w:rsidRDefault="00B83890" w:rsidP="00B83890"/>
    <w:p w:rsidR="00B83890" w:rsidRDefault="00B83890" w:rsidP="00B83890">
      <w:pPr>
        <w:pStyle w:val="Heading3"/>
        <w:rPr>
          <w:kern w:val="32"/>
        </w:rPr>
      </w:pPr>
      <w:r w:rsidRPr="00CE5CB1">
        <w:rPr>
          <w:kern w:val="32"/>
        </w:rPr>
        <w:t>Membership Fees for Museum Victoria Members</w:t>
      </w:r>
    </w:p>
    <w:tbl>
      <w:tblPr>
        <w:tblW w:w="0" w:type="auto"/>
        <w:tblLook w:val="01E0" w:firstRow="1" w:lastRow="1" w:firstColumn="1" w:lastColumn="1" w:noHBand="0" w:noVBand="0"/>
        <w:tblCaption w:val="Membership Fees"/>
        <w:tblDescription w:val="This table shows the fees for Museum Victoria memberships."/>
      </w:tblPr>
      <w:tblGrid>
        <w:gridCol w:w="3708"/>
        <w:gridCol w:w="4140"/>
      </w:tblGrid>
      <w:tr w:rsidR="00E1167D" w:rsidRPr="00E1167D" w:rsidTr="00E1167D">
        <w:trPr>
          <w:tblHeader/>
        </w:trPr>
        <w:tc>
          <w:tcPr>
            <w:tcW w:w="3708" w:type="dxa"/>
          </w:tcPr>
          <w:p w:rsidR="00E1167D" w:rsidRPr="00E1167D" w:rsidRDefault="00E1167D" w:rsidP="006E6DC8">
            <w:pPr>
              <w:rPr>
                <w:b/>
              </w:rPr>
            </w:pPr>
            <w:r w:rsidRPr="00E1167D">
              <w:rPr>
                <w:b/>
              </w:rPr>
              <w:t>Membership type</w:t>
            </w:r>
          </w:p>
        </w:tc>
        <w:tc>
          <w:tcPr>
            <w:tcW w:w="4140" w:type="dxa"/>
          </w:tcPr>
          <w:p w:rsidR="00E1167D" w:rsidRPr="00E1167D" w:rsidRDefault="00E1167D" w:rsidP="006E6DC8">
            <w:pPr>
              <w:rPr>
                <w:b/>
              </w:rPr>
            </w:pPr>
            <w:r w:rsidRPr="00E1167D">
              <w:rPr>
                <w:b/>
              </w:rPr>
              <w:t>Cost</w:t>
            </w:r>
          </w:p>
        </w:tc>
      </w:tr>
      <w:tr w:rsidR="00B83890" w:rsidRPr="00CE5CB1" w:rsidTr="006E6DC8">
        <w:tc>
          <w:tcPr>
            <w:tcW w:w="3708" w:type="dxa"/>
          </w:tcPr>
          <w:p w:rsidR="00B83890" w:rsidRPr="00CE5CB1" w:rsidRDefault="00B83890" w:rsidP="006E6DC8">
            <w:r w:rsidRPr="00CE5CB1">
              <w:t>Adult</w:t>
            </w:r>
          </w:p>
        </w:tc>
        <w:tc>
          <w:tcPr>
            <w:tcW w:w="4140" w:type="dxa"/>
          </w:tcPr>
          <w:p w:rsidR="00B83890" w:rsidRPr="00CE5CB1" w:rsidRDefault="00B83890" w:rsidP="006E6DC8">
            <w:r w:rsidRPr="00CE5CB1">
              <w:t>$46.00 ($35.00 renew</w:t>
            </w:r>
            <w:r>
              <w:t>al</w:t>
            </w:r>
            <w:r w:rsidRPr="00CE5CB1">
              <w:t xml:space="preserve"> rate)</w:t>
            </w:r>
          </w:p>
        </w:tc>
      </w:tr>
      <w:tr w:rsidR="00B83890" w:rsidRPr="00CE5CB1" w:rsidTr="006E6DC8">
        <w:tc>
          <w:tcPr>
            <w:tcW w:w="3708" w:type="dxa"/>
          </w:tcPr>
          <w:p w:rsidR="00B83890" w:rsidRPr="00CE5CB1" w:rsidRDefault="00B83890" w:rsidP="006E6DC8">
            <w:r w:rsidRPr="00CE5CB1">
              <w:t>Child</w:t>
            </w:r>
          </w:p>
        </w:tc>
        <w:tc>
          <w:tcPr>
            <w:tcW w:w="4140" w:type="dxa"/>
          </w:tcPr>
          <w:p w:rsidR="00B83890" w:rsidRPr="00CE5CB1" w:rsidRDefault="00B83890" w:rsidP="006E6DC8">
            <w:r w:rsidRPr="00CE5CB1">
              <w:t>$16.00</w:t>
            </w:r>
          </w:p>
        </w:tc>
      </w:tr>
      <w:tr w:rsidR="00B83890" w:rsidRPr="00CE5CB1" w:rsidTr="006E6DC8">
        <w:tc>
          <w:tcPr>
            <w:tcW w:w="3708" w:type="dxa"/>
          </w:tcPr>
          <w:p w:rsidR="00B83890" w:rsidRPr="00CE5CB1" w:rsidRDefault="00B83890" w:rsidP="006E6DC8">
            <w:r w:rsidRPr="00CE5CB1">
              <w:t>Concession</w:t>
            </w:r>
          </w:p>
        </w:tc>
        <w:tc>
          <w:tcPr>
            <w:tcW w:w="4140" w:type="dxa"/>
          </w:tcPr>
          <w:p w:rsidR="00B83890" w:rsidRPr="00CE5CB1" w:rsidRDefault="00B83890" w:rsidP="006E6DC8">
            <w:r w:rsidRPr="00CE5CB1">
              <w:t>$30.00 ($19.00 renew</w:t>
            </w:r>
            <w:r>
              <w:t>al</w:t>
            </w:r>
            <w:r w:rsidRPr="00CE5CB1">
              <w:t xml:space="preserve"> rate)</w:t>
            </w:r>
          </w:p>
        </w:tc>
      </w:tr>
      <w:tr w:rsidR="00B83890" w:rsidRPr="00CE5CB1" w:rsidTr="006E6DC8">
        <w:tc>
          <w:tcPr>
            <w:tcW w:w="3708" w:type="dxa"/>
          </w:tcPr>
          <w:p w:rsidR="00B83890" w:rsidRPr="00CE5CB1" w:rsidRDefault="00B83890" w:rsidP="006E6DC8">
            <w:r w:rsidRPr="00CE5CB1">
              <w:t>Household</w:t>
            </w:r>
          </w:p>
        </w:tc>
        <w:tc>
          <w:tcPr>
            <w:tcW w:w="4140" w:type="dxa"/>
          </w:tcPr>
          <w:p w:rsidR="00B83890" w:rsidRPr="00CE5CB1" w:rsidRDefault="00B83890" w:rsidP="006E6DC8">
            <w:r w:rsidRPr="00CE5CB1">
              <w:t>$70.00 ($59.00 renew</w:t>
            </w:r>
            <w:r>
              <w:t>al</w:t>
            </w:r>
            <w:r w:rsidRPr="00CE5CB1">
              <w:t xml:space="preserve"> rate)</w:t>
            </w:r>
          </w:p>
        </w:tc>
      </w:tr>
      <w:tr w:rsidR="00B83890" w:rsidRPr="00CE5CB1" w:rsidTr="006E6DC8">
        <w:tc>
          <w:tcPr>
            <w:tcW w:w="3708" w:type="dxa"/>
          </w:tcPr>
          <w:p w:rsidR="00B83890" w:rsidRPr="00CE5CB1" w:rsidRDefault="00B83890" w:rsidP="006E6DC8">
            <w:r w:rsidRPr="00CE5CB1">
              <w:t>Additional child</w:t>
            </w:r>
          </w:p>
        </w:tc>
        <w:tc>
          <w:tcPr>
            <w:tcW w:w="4140" w:type="dxa"/>
          </w:tcPr>
          <w:p w:rsidR="00B83890" w:rsidRPr="00CE5CB1" w:rsidRDefault="00B83890" w:rsidP="006E6DC8">
            <w:r w:rsidRPr="00CE5CB1">
              <w:t>$6.00</w:t>
            </w:r>
          </w:p>
        </w:tc>
      </w:tr>
      <w:tr w:rsidR="00B83890" w:rsidRPr="00CE5CB1" w:rsidTr="006E6DC8">
        <w:tc>
          <w:tcPr>
            <w:tcW w:w="3708" w:type="dxa"/>
          </w:tcPr>
          <w:p w:rsidR="00B83890" w:rsidRPr="00CE5CB1" w:rsidRDefault="00B83890" w:rsidP="006E6DC8">
            <w:r w:rsidRPr="00CE5CB1">
              <w:t>Administration fee (on joining)</w:t>
            </w:r>
          </w:p>
        </w:tc>
        <w:tc>
          <w:tcPr>
            <w:tcW w:w="4140" w:type="dxa"/>
          </w:tcPr>
          <w:p w:rsidR="00B83890" w:rsidRPr="00CE5CB1" w:rsidRDefault="00B83890" w:rsidP="006E6DC8">
            <w:r w:rsidRPr="00CE5CB1">
              <w:t>$11.00 (inc. GST)</w:t>
            </w:r>
          </w:p>
        </w:tc>
      </w:tr>
    </w:tbl>
    <w:p w:rsidR="00B83890" w:rsidRPr="00CE5CB1" w:rsidRDefault="00B83890" w:rsidP="00B83890"/>
    <w:p w:rsidR="00B83890" w:rsidRDefault="00B83890" w:rsidP="00B83890">
      <w:r w:rsidRPr="00CE5CB1">
        <w:t>Notes:</w:t>
      </w:r>
    </w:p>
    <w:p w:rsidR="00B83890" w:rsidRDefault="00B83890" w:rsidP="00B83890">
      <w:r w:rsidRPr="00CE5CB1">
        <w:t>All fees are for a one-year membership.</w:t>
      </w:r>
    </w:p>
    <w:p w:rsidR="00B83890" w:rsidRDefault="00B83890" w:rsidP="00B83890">
      <w:r>
        <w:t>The j</w:t>
      </w:r>
      <w:r w:rsidRPr="00CE5CB1">
        <w:t xml:space="preserve">oining fee </w:t>
      </w:r>
      <w:r>
        <w:t xml:space="preserve">is </w:t>
      </w:r>
      <w:r w:rsidRPr="00CE5CB1">
        <w:t>not applicable for a child or additional child.</w:t>
      </w:r>
    </w:p>
    <w:p w:rsidR="00B83890" w:rsidRDefault="00B83890" w:rsidP="00B83890">
      <w:r>
        <w:t>A h</w:t>
      </w:r>
      <w:r w:rsidRPr="00CE5CB1">
        <w:t>ousehold membership covers two adults and up to four dependent children, 16 years and under, at the one address.</w:t>
      </w:r>
    </w:p>
    <w:p w:rsidR="00B83890" w:rsidRDefault="00B83890" w:rsidP="00B83890">
      <w:r w:rsidRPr="00CE5CB1">
        <w:t>Membership provides unlimited entry to all venues</w:t>
      </w:r>
      <w:r>
        <w:t xml:space="preserve"> and</w:t>
      </w:r>
      <w:r w:rsidRPr="00CE5CB1">
        <w:t xml:space="preserve"> includ</w:t>
      </w:r>
      <w:r>
        <w:t>es</w:t>
      </w:r>
      <w:r w:rsidRPr="00CE5CB1">
        <w:t xml:space="preserve"> the Royal Exhibition Building tours; discounted entry to the Melbourne Planetarium and Lightning Room; discounts for touring exhibitions and retail outlets; member-only events and previews; free admission to a number of interstate museums; and subscription to Museum Victoria’s </w:t>
      </w:r>
      <w:r w:rsidRPr="00CE5CB1">
        <w:rPr>
          <w:i/>
        </w:rPr>
        <w:t>Six Months</w:t>
      </w:r>
      <w:r w:rsidRPr="00CE5CB1">
        <w:t xml:space="preserve"> magazine.</w:t>
      </w:r>
    </w:p>
    <w:p w:rsidR="00B83890" w:rsidRDefault="00B83890" w:rsidP="00B83890">
      <w:r w:rsidRPr="00CE5CB1">
        <w:t xml:space="preserve">To be eligible for the renewal rate, members must renew their membership before the membership expiry date. </w:t>
      </w:r>
    </w:p>
    <w:p w:rsidR="00B83890" w:rsidRDefault="00B83890" w:rsidP="00B83890">
      <w:pPr>
        <w:pStyle w:val="Heading4"/>
      </w:pPr>
    </w:p>
    <w:p w:rsidR="00B83890" w:rsidRDefault="00B83890" w:rsidP="00B83890">
      <w:pPr>
        <w:keepNext w:val="0"/>
        <w:outlineLvl w:val="9"/>
        <w:sectPr w:rsidR="00B83890" w:rsidSect="006E6DC8">
          <w:pgSz w:w="11906" w:h="16838"/>
          <w:pgMar w:top="1440" w:right="1800" w:bottom="1440" w:left="1800" w:header="720" w:footer="720" w:gutter="0"/>
          <w:cols w:space="720"/>
          <w:docGrid w:linePitch="360"/>
        </w:sectPr>
      </w:pPr>
      <w:r>
        <w:br w:type="page"/>
      </w:r>
    </w:p>
    <w:p w:rsidR="00B83890" w:rsidRPr="00F17D39" w:rsidRDefault="00B83890" w:rsidP="00B83890">
      <w:pPr>
        <w:pStyle w:val="Heading2"/>
        <w:rPr>
          <w:sz w:val="40"/>
          <w:szCs w:val="40"/>
        </w:rPr>
      </w:pPr>
      <w:r w:rsidRPr="00F17D39">
        <w:rPr>
          <w:sz w:val="40"/>
          <w:szCs w:val="40"/>
        </w:rPr>
        <w:lastRenderedPageBreak/>
        <w:t>Government Advertising Expenditure</w:t>
      </w:r>
    </w:p>
    <w:p w:rsidR="00B83890" w:rsidRPr="00C07458" w:rsidRDefault="00B83890" w:rsidP="00B83890"/>
    <w:tbl>
      <w:tblPr>
        <w:tblStyle w:val="TableGrid"/>
        <w:tblW w:w="12445" w:type="dxa"/>
        <w:tblLayout w:type="fixed"/>
        <w:tblLook w:val="04A0" w:firstRow="1" w:lastRow="0" w:firstColumn="1" w:lastColumn="0" w:noHBand="0" w:noVBand="1"/>
        <w:tblCaption w:val="Government Advertising Expenditure"/>
        <w:tblDescription w:val="This table shows government advertising expenditure for 2012–13."/>
      </w:tblPr>
      <w:tblGrid>
        <w:gridCol w:w="1701"/>
        <w:gridCol w:w="3119"/>
        <w:gridCol w:w="1275"/>
        <w:gridCol w:w="1587"/>
        <w:gridCol w:w="1588"/>
        <w:gridCol w:w="1587"/>
        <w:gridCol w:w="1588"/>
      </w:tblGrid>
      <w:tr w:rsidR="00B83890" w:rsidRPr="00F17D39" w:rsidTr="00E1167D">
        <w:tc>
          <w:tcPr>
            <w:tcW w:w="1701" w:type="dxa"/>
          </w:tcPr>
          <w:p w:rsidR="00B83890" w:rsidRPr="00F17D39" w:rsidRDefault="00B83890" w:rsidP="006E6DC8">
            <w:pPr>
              <w:rPr>
                <w:b/>
              </w:rPr>
            </w:pPr>
            <w:r w:rsidRPr="00F17D39">
              <w:rPr>
                <w:b/>
              </w:rPr>
              <w:t>Name of Campaign</w:t>
            </w:r>
          </w:p>
        </w:tc>
        <w:tc>
          <w:tcPr>
            <w:tcW w:w="3119" w:type="dxa"/>
          </w:tcPr>
          <w:p w:rsidR="00B83890" w:rsidRPr="00F17D39" w:rsidRDefault="00B83890" w:rsidP="006E6DC8">
            <w:pPr>
              <w:rPr>
                <w:b/>
              </w:rPr>
            </w:pPr>
            <w:r w:rsidRPr="00F17D39">
              <w:rPr>
                <w:b/>
              </w:rPr>
              <w:t>Campaign Summary</w:t>
            </w:r>
          </w:p>
        </w:tc>
        <w:tc>
          <w:tcPr>
            <w:tcW w:w="1275" w:type="dxa"/>
          </w:tcPr>
          <w:p w:rsidR="00B83890" w:rsidRPr="00F17D39" w:rsidRDefault="00B83890" w:rsidP="006E6DC8">
            <w:pPr>
              <w:rPr>
                <w:b/>
              </w:rPr>
            </w:pPr>
            <w:r w:rsidRPr="00F17D39">
              <w:rPr>
                <w:b/>
              </w:rPr>
              <w:t>Dates</w:t>
            </w:r>
          </w:p>
        </w:tc>
        <w:tc>
          <w:tcPr>
            <w:tcW w:w="1587" w:type="dxa"/>
          </w:tcPr>
          <w:p w:rsidR="00B83890" w:rsidRDefault="00B83890" w:rsidP="006E6DC8">
            <w:pPr>
              <w:rPr>
                <w:b/>
              </w:rPr>
            </w:pPr>
            <w:r w:rsidRPr="00F17D39">
              <w:rPr>
                <w:b/>
              </w:rPr>
              <w:t>Media</w:t>
            </w:r>
          </w:p>
          <w:p w:rsidR="009C0D27" w:rsidRDefault="009C0D27" w:rsidP="006E6DC8">
            <w:pPr>
              <w:rPr>
                <w:b/>
              </w:rPr>
            </w:pPr>
          </w:p>
          <w:p w:rsidR="009C0D27" w:rsidRPr="00F17D39" w:rsidRDefault="009C0D27" w:rsidP="006E6DC8">
            <w:pPr>
              <w:rPr>
                <w:b/>
              </w:rPr>
            </w:pPr>
          </w:p>
          <w:p w:rsidR="00B83890" w:rsidRPr="00F17D39" w:rsidRDefault="00B83890" w:rsidP="006E6DC8">
            <w:pPr>
              <w:rPr>
                <w:b/>
              </w:rPr>
            </w:pPr>
            <w:r w:rsidRPr="00F17D39">
              <w:rPr>
                <w:b/>
              </w:rPr>
              <w:t>$</w:t>
            </w:r>
          </w:p>
        </w:tc>
        <w:tc>
          <w:tcPr>
            <w:tcW w:w="1588" w:type="dxa"/>
          </w:tcPr>
          <w:p w:rsidR="00B83890" w:rsidRPr="00F17D39" w:rsidRDefault="00B83890" w:rsidP="006E6DC8">
            <w:pPr>
              <w:rPr>
                <w:b/>
              </w:rPr>
            </w:pPr>
            <w:r w:rsidRPr="00F17D39">
              <w:rPr>
                <w:b/>
              </w:rPr>
              <w:t>Creative and campaign development</w:t>
            </w:r>
          </w:p>
          <w:p w:rsidR="00B83890" w:rsidRPr="00F17D39" w:rsidRDefault="00B83890" w:rsidP="006E6DC8">
            <w:pPr>
              <w:rPr>
                <w:b/>
              </w:rPr>
            </w:pPr>
            <w:r w:rsidRPr="00F17D39">
              <w:rPr>
                <w:b/>
              </w:rPr>
              <w:t>$</w:t>
            </w:r>
          </w:p>
        </w:tc>
        <w:tc>
          <w:tcPr>
            <w:tcW w:w="1587" w:type="dxa"/>
          </w:tcPr>
          <w:p w:rsidR="00B83890" w:rsidRPr="00F17D39" w:rsidRDefault="00B83890" w:rsidP="006E6DC8">
            <w:pPr>
              <w:rPr>
                <w:b/>
              </w:rPr>
            </w:pPr>
            <w:r w:rsidRPr="00F17D39">
              <w:rPr>
                <w:b/>
              </w:rPr>
              <w:t>Research and evaluation</w:t>
            </w:r>
          </w:p>
          <w:p w:rsidR="00B83890" w:rsidRPr="00F17D39" w:rsidRDefault="00B83890" w:rsidP="006E6DC8">
            <w:pPr>
              <w:rPr>
                <w:b/>
              </w:rPr>
            </w:pPr>
            <w:r w:rsidRPr="00F17D39">
              <w:rPr>
                <w:b/>
              </w:rPr>
              <w:t>$</w:t>
            </w:r>
          </w:p>
        </w:tc>
        <w:tc>
          <w:tcPr>
            <w:tcW w:w="1588" w:type="dxa"/>
          </w:tcPr>
          <w:p w:rsidR="00B83890" w:rsidRPr="00F17D39" w:rsidRDefault="00B83890" w:rsidP="006E6DC8">
            <w:pPr>
              <w:rPr>
                <w:b/>
              </w:rPr>
            </w:pPr>
            <w:r w:rsidRPr="00F17D39">
              <w:rPr>
                <w:b/>
              </w:rPr>
              <w:t>Print and collateral</w:t>
            </w:r>
          </w:p>
          <w:p w:rsidR="00B83890" w:rsidRPr="00F17D39" w:rsidRDefault="00B83890" w:rsidP="006E6DC8">
            <w:pPr>
              <w:rPr>
                <w:b/>
              </w:rPr>
            </w:pPr>
          </w:p>
          <w:p w:rsidR="00B83890" w:rsidRPr="00F17D39" w:rsidRDefault="00B83890" w:rsidP="006E6DC8">
            <w:pPr>
              <w:rPr>
                <w:b/>
              </w:rPr>
            </w:pPr>
            <w:r w:rsidRPr="00F17D39">
              <w:rPr>
                <w:b/>
              </w:rPr>
              <w:t>$</w:t>
            </w:r>
          </w:p>
        </w:tc>
      </w:tr>
      <w:tr w:rsidR="00B83890" w:rsidRPr="00F17D39" w:rsidTr="00E1167D">
        <w:tc>
          <w:tcPr>
            <w:tcW w:w="1701" w:type="dxa"/>
          </w:tcPr>
          <w:p w:rsidR="00B83890" w:rsidRPr="00F17D39" w:rsidRDefault="00B83890" w:rsidP="006E6DC8">
            <w:r w:rsidRPr="00F17D39">
              <w:t xml:space="preserve">Wallace and Gromit </w:t>
            </w:r>
          </w:p>
        </w:tc>
        <w:tc>
          <w:tcPr>
            <w:tcW w:w="3119" w:type="dxa"/>
          </w:tcPr>
          <w:p w:rsidR="00B83890" w:rsidRPr="00F17D39" w:rsidRDefault="00B83890" w:rsidP="006E6DC8">
            <w:r w:rsidRPr="00F17D39">
              <w:t xml:space="preserve">Digital, outdoor, cinema and print media campaign, to support the exhibition </w:t>
            </w:r>
            <w:r w:rsidRPr="00F17D39">
              <w:rPr>
                <w:i/>
              </w:rPr>
              <w:t>Wallace and Gromit’s World of Invention</w:t>
            </w:r>
            <w:r w:rsidRPr="00F17D39">
              <w:t xml:space="preserve"> at Scienceworks.</w:t>
            </w:r>
          </w:p>
        </w:tc>
        <w:tc>
          <w:tcPr>
            <w:tcW w:w="1275" w:type="dxa"/>
          </w:tcPr>
          <w:p w:rsidR="00B83890" w:rsidRPr="00F17D39" w:rsidRDefault="00B83890" w:rsidP="006E6DC8">
            <w:r w:rsidRPr="00F17D39">
              <w:t>13 May – 4 November 2012</w:t>
            </w:r>
          </w:p>
        </w:tc>
        <w:tc>
          <w:tcPr>
            <w:tcW w:w="1587" w:type="dxa"/>
          </w:tcPr>
          <w:p w:rsidR="00B83890" w:rsidRPr="00F17D39" w:rsidRDefault="00B83890" w:rsidP="006E6DC8">
            <w:r w:rsidRPr="00F17D39">
              <w:t>70,493</w:t>
            </w:r>
          </w:p>
        </w:tc>
        <w:tc>
          <w:tcPr>
            <w:tcW w:w="1588" w:type="dxa"/>
          </w:tcPr>
          <w:p w:rsidR="00B83890" w:rsidRPr="00F17D39" w:rsidRDefault="00B83890" w:rsidP="006E6DC8">
            <w:r w:rsidRPr="00F17D39">
              <w:t>-</w:t>
            </w:r>
          </w:p>
        </w:tc>
        <w:tc>
          <w:tcPr>
            <w:tcW w:w="1587" w:type="dxa"/>
          </w:tcPr>
          <w:p w:rsidR="00B83890" w:rsidRPr="00F17D39" w:rsidRDefault="00B83890" w:rsidP="006E6DC8">
            <w:r w:rsidRPr="00F17D39">
              <w:t>-</w:t>
            </w:r>
          </w:p>
        </w:tc>
        <w:tc>
          <w:tcPr>
            <w:tcW w:w="1588" w:type="dxa"/>
          </w:tcPr>
          <w:p w:rsidR="00B83890" w:rsidRPr="00F17D39" w:rsidRDefault="00B83890" w:rsidP="006E6DC8">
            <w:r w:rsidRPr="00F17D39">
              <w:t>17,300</w:t>
            </w:r>
          </w:p>
        </w:tc>
      </w:tr>
      <w:tr w:rsidR="00B83890" w:rsidRPr="00F17D39" w:rsidTr="00E1167D">
        <w:tc>
          <w:tcPr>
            <w:tcW w:w="1701" w:type="dxa"/>
          </w:tcPr>
          <w:p w:rsidR="00B83890" w:rsidRPr="00F17D39" w:rsidRDefault="00B83890" w:rsidP="006E6DC8">
            <w:r w:rsidRPr="00F17D39">
              <w:t>Mesopotamia</w:t>
            </w:r>
          </w:p>
          <w:p w:rsidR="00B83890" w:rsidRPr="00F17D39" w:rsidRDefault="00B83890" w:rsidP="006E6DC8"/>
        </w:tc>
        <w:tc>
          <w:tcPr>
            <w:tcW w:w="3119" w:type="dxa"/>
          </w:tcPr>
          <w:p w:rsidR="00B83890" w:rsidRPr="00F17D39" w:rsidRDefault="00B83890" w:rsidP="006E6DC8">
            <w:r w:rsidRPr="00F17D39">
              <w:t xml:space="preserve">Television, digital, tourism and print media campaign, to support the exhibition </w:t>
            </w:r>
            <w:r w:rsidRPr="00F17D39">
              <w:rPr>
                <w:i/>
              </w:rPr>
              <w:t>The Wonders of Ancient Mesopotamia</w:t>
            </w:r>
            <w:r w:rsidRPr="00F17D39">
              <w:t xml:space="preserve"> at Melbourne Museum.</w:t>
            </w:r>
          </w:p>
        </w:tc>
        <w:tc>
          <w:tcPr>
            <w:tcW w:w="1275" w:type="dxa"/>
          </w:tcPr>
          <w:p w:rsidR="00B83890" w:rsidRPr="00F17D39" w:rsidRDefault="00B83890" w:rsidP="006E6DC8">
            <w:r w:rsidRPr="00F17D39">
              <w:t>1July – 7 October 2012</w:t>
            </w:r>
          </w:p>
        </w:tc>
        <w:tc>
          <w:tcPr>
            <w:tcW w:w="1587" w:type="dxa"/>
          </w:tcPr>
          <w:p w:rsidR="00B83890" w:rsidRPr="00F17D39" w:rsidRDefault="00B83890" w:rsidP="006E6DC8">
            <w:r w:rsidRPr="00F17D39">
              <w:t>232,239</w:t>
            </w:r>
          </w:p>
        </w:tc>
        <w:tc>
          <w:tcPr>
            <w:tcW w:w="1588" w:type="dxa"/>
          </w:tcPr>
          <w:p w:rsidR="00B83890" w:rsidRPr="00F17D39" w:rsidRDefault="00B83890" w:rsidP="006E6DC8">
            <w:r w:rsidRPr="00F17D39">
              <w:t>10,865</w:t>
            </w:r>
          </w:p>
        </w:tc>
        <w:tc>
          <w:tcPr>
            <w:tcW w:w="1587" w:type="dxa"/>
          </w:tcPr>
          <w:p w:rsidR="00B83890" w:rsidRPr="00F17D39" w:rsidRDefault="00B83890" w:rsidP="006E6DC8">
            <w:r w:rsidRPr="00F17D39">
              <w:t>-</w:t>
            </w:r>
          </w:p>
        </w:tc>
        <w:tc>
          <w:tcPr>
            <w:tcW w:w="1588" w:type="dxa"/>
          </w:tcPr>
          <w:p w:rsidR="00B83890" w:rsidRPr="00F17D39" w:rsidRDefault="00B83890" w:rsidP="006E6DC8">
            <w:r w:rsidRPr="00F17D39">
              <w:t>-</w:t>
            </w:r>
          </w:p>
        </w:tc>
      </w:tr>
      <w:tr w:rsidR="00B83890" w:rsidRPr="00F17D39" w:rsidTr="00E1167D">
        <w:tc>
          <w:tcPr>
            <w:tcW w:w="1701" w:type="dxa"/>
          </w:tcPr>
          <w:p w:rsidR="00B83890" w:rsidRPr="00F17D39" w:rsidRDefault="00B83890" w:rsidP="006E6DC8">
            <w:r w:rsidRPr="00F17D39">
              <w:t>Afghanistan</w:t>
            </w:r>
          </w:p>
          <w:p w:rsidR="00B83890" w:rsidRPr="00F17D39" w:rsidRDefault="00B83890" w:rsidP="006E6DC8"/>
        </w:tc>
        <w:tc>
          <w:tcPr>
            <w:tcW w:w="3119" w:type="dxa"/>
          </w:tcPr>
          <w:p w:rsidR="00B83890" w:rsidRPr="00F17D39" w:rsidRDefault="00B83890" w:rsidP="006E6DC8">
            <w:r w:rsidRPr="00F17D39">
              <w:t xml:space="preserve">Television, digital, tourism and print media campaign, to support the exhibition </w:t>
            </w:r>
            <w:r w:rsidRPr="00F17D39">
              <w:rPr>
                <w:i/>
              </w:rPr>
              <w:t>Afghanistan: Hidden Treasures from the National Museum, Kabul</w:t>
            </w:r>
            <w:r w:rsidRPr="00F17D39">
              <w:t xml:space="preserve"> at Melbourne Museum.</w:t>
            </w:r>
          </w:p>
        </w:tc>
        <w:tc>
          <w:tcPr>
            <w:tcW w:w="1275" w:type="dxa"/>
          </w:tcPr>
          <w:p w:rsidR="00B83890" w:rsidRPr="00F17D39" w:rsidRDefault="00B83890" w:rsidP="006E6DC8">
            <w:r w:rsidRPr="00F17D39">
              <w:t>22 March – 28 June 2013</w:t>
            </w:r>
          </w:p>
        </w:tc>
        <w:tc>
          <w:tcPr>
            <w:tcW w:w="1587" w:type="dxa"/>
          </w:tcPr>
          <w:p w:rsidR="00B83890" w:rsidRPr="00F17D39" w:rsidRDefault="00B83890" w:rsidP="006E6DC8">
            <w:r w:rsidRPr="00F17D39">
              <w:t>188,990</w:t>
            </w:r>
          </w:p>
        </w:tc>
        <w:tc>
          <w:tcPr>
            <w:tcW w:w="1588" w:type="dxa"/>
          </w:tcPr>
          <w:p w:rsidR="00B83890" w:rsidRPr="00F17D39" w:rsidRDefault="00B83890" w:rsidP="006E6DC8">
            <w:r w:rsidRPr="00F17D39">
              <w:t>36,000</w:t>
            </w:r>
          </w:p>
        </w:tc>
        <w:tc>
          <w:tcPr>
            <w:tcW w:w="1587" w:type="dxa"/>
          </w:tcPr>
          <w:p w:rsidR="00B83890" w:rsidRPr="00F17D39" w:rsidRDefault="00B83890" w:rsidP="006E6DC8">
            <w:r w:rsidRPr="00F17D39">
              <w:t>-</w:t>
            </w:r>
          </w:p>
        </w:tc>
        <w:tc>
          <w:tcPr>
            <w:tcW w:w="1588" w:type="dxa"/>
          </w:tcPr>
          <w:p w:rsidR="00B83890" w:rsidRPr="00F17D39" w:rsidRDefault="00B83890" w:rsidP="006E6DC8">
            <w:r w:rsidRPr="00F17D39">
              <w:t>20,247</w:t>
            </w:r>
          </w:p>
        </w:tc>
      </w:tr>
    </w:tbl>
    <w:p w:rsidR="00B83890" w:rsidRPr="00761F2A" w:rsidRDefault="00B83890" w:rsidP="00B83890"/>
    <w:p w:rsidR="00B83890" w:rsidRPr="00761F2A" w:rsidRDefault="00B83890" w:rsidP="00B83890">
      <w:r w:rsidRPr="00761F2A">
        <w:t>Note</w:t>
      </w:r>
      <w:r>
        <w:t>s</w:t>
      </w:r>
      <w:r w:rsidRPr="00761F2A">
        <w:t>:</w:t>
      </w:r>
    </w:p>
    <w:p w:rsidR="00B83890" w:rsidRDefault="00B83890" w:rsidP="00B83890">
      <w:r>
        <w:t>Research and evalua</w:t>
      </w:r>
      <w:r w:rsidRPr="00761F2A">
        <w:t>tion was undertaken with existing internal resources.</w:t>
      </w:r>
    </w:p>
    <w:p w:rsidR="00B83890" w:rsidRDefault="00B83890" w:rsidP="00B83890">
      <w:r>
        <w:t>All three campaigns crossed financial years. The figures above represent 2012–13 expenditure.</w:t>
      </w:r>
    </w:p>
    <w:p w:rsidR="00B83890" w:rsidRPr="00761F2A" w:rsidRDefault="00B83890" w:rsidP="00B83890">
      <w:r>
        <w:t>Museum Victoria’s communications creative work is undertaken by a design firm on a monthly retainer. The amounts above are additional expenses for these larger campaigns.</w:t>
      </w:r>
    </w:p>
    <w:p w:rsidR="00B83890" w:rsidRDefault="00B83890" w:rsidP="00B83890">
      <w:pPr>
        <w:sectPr w:rsidR="00B83890" w:rsidSect="006E6DC8">
          <w:pgSz w:w="16838" w:h="11906" w:orient="landscape"/>
          <w:pgMar w:top="1797" w:right="1440" w:bottom="1797" w:left="1440" w:header="720" w:footer="720" w:gutter="0"/>
          <w:cols w:space="720"/>
          <w:docGrid w:linePitch="360"/>
        </w:sectPr>
      </w:pPr>
    </w:p>
    <w:p w:rsidR="00B83890" w:rsidRDefault="00B83890" w:rsidP="00B83890">
      <w:pPr>
        <w:pStyle w:val="Heading1"/>
      </w:pPr>
      <w:r w:rsidRPr="006421E6">
        <w:lastRenderedPageBreak/>
        <w:t>Disclosure Index</w:t>
      </w:r>
    </w:p>
    <w:p w:rsidR="00B83890" w:rsidRPr="005904AB" w:rsidRDefault="00B83890" w:rsidP="00B83890"/>
    <w:p w:rsidR="00B83890" w:rsidRPr="005904AB" w:rsidRDefault="00B83890" w:rsidP="00B83890">
      <w:r w:rsidRPr="005904AB">
        <w:t>Th</w:t>
      </w:r>
      <w:r>
        <w:t>is</w:t>
      </w:r>
      <w:r w:rsidRPr="005904AB">
        <w:t xml:space="preserve"> annual report </w:t>
      </w:r>
      <w:r>
        <w:t>has been</w:t>
      </w:r>
      <w:r w:rsidRPr="005904AB">
        <w:t xml:space="preserve"> prepared in accordance with all relevant Victorian legislation. Th</w:t>
      </w:r>
      <w:r>
        <w:t>e disclosure</w:t>
      </w:r>
      <w:r w:rsidRPr="005904AB">
        <w:t xml:space="preserve"> index has been prepared to facilitate identification of </w:t>
      </w:r>
      <w:r w:rsidRPr="00580F22">
        <w:rPr>
          <w:rFonts w:cs="Arial"/>
        </w:rPr>
        <w:t>Museum Victoria’s</w:t>
      </w:r>
      <w:r w:rsidRPr="00580F22">
        <w:t xml:space="preserve"> compliance with statutory disclosure requirements.</w:t>
      </w:r>
    </w:p>
    <w:p w:rsidR="00B83890" w:rsidRPr="005904AB" w:rsidRDefault="00B83890" w:rsidP="00B83890"/>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Disclosure Index"/>
        <w:tblDescription w:val="This table is the Disclosure Index for the report."/>
      </w:tblPr>
      <w:tblGrid>
        <w:gridCol w:w="2088"/>
        <w:gridCol w:w="5400"/>
        <w:gridCol w:w="1440"/>
      </w:tblGrid>
      <w:tr w:rsidR="00B83890" w:rsidRPr="005904AB" w:rsidTr="00E1167D">
        <w:trPr>
          <w:tblHeader/>
        </w:trPr>
        <w:tc>
          <w:tcPr>
            <w:tcW w:w="7488" w:type="dxa"/>
            <w:gridSpan w:val="2"/>
          </w:tcPr>
          <w:p w:rsidR="00B83890" w:rsidRPr="00E1167D" w:rsidRDefault="00B83890" w:rsidP="006E6DC8">
            <w:pPr>
              <w:rPr>
                <w:b/>
              </w:rPr>
            </w:pPr>
            <w:r w:rsidRPr="00E1167D">
              <w:rPr>
                <w:b/>
              </w:rPr>
              <w:t>Ministerial Directions</w:t>
            </w:r>
          </w:p>
        </w:tc>
        <w:tc>
          <w:tcPr>
            <w:tcW w:w="1440" w:type="dxa"/>
            <w:vAlign w:val="center"/>
          </w:tcPr>
          <w:p w:rsidR="00B83890" w:rsidRPr="00E1167D" w:rsidRDefault="00B83890" w:rsidP="006E6DC8">
            <w:pPr>
              <w:rPr>
                <w:b/>
              </w:rPr>
            </w:pPr>
            <w:r w:rsidRPr="00E1167D">
              <w:rPr>
                <w:b/>
              </w:rPr>
              <w:t>Page</w:t>
            </w:r>
          </w:p>
        </w:tc>
      </w:tr>
      <w:tr w:rsidR="00B83890" w:rsidRPr="005904AB" w:rsidTr="006E6DC8">
        <w:tc>
          <w:tcPr>
            <w:tcW w:w="8928" w:type="dxa"/>
            <w:gridSpan w:val="3"/>
          </w:tcPr>
          <w:p w:rsidR="00B83890" w:rsidRPr="00E1167D" w:rsidRDefault="00B83890" w:rsidP="006E6DC8">
            <w:pPr>
              <w:rPr>
                <w:b/>
              </w:rPr>
            </w:pPr>
            <w:r w:rsidRPr="00E1167D">
              <w:rPr>
                <w:b/>
              </w:rPr>
              <w:t>Report of Operations</w:t>
            </w:r>
          </w:p>
        </w:tc>
      </w:tr>
      <w:tr w:rsidR="00B83890" w:rsidRPr="005904AB" w:rsidTr="006E6DC8">
        <w:tc>
          <w:tcPr>
            <w:tcW w:w="8928" w:type="dxa"/>
            <w:gridSpan w:val="3"/>
          </w:tcPr>
          <w:p w:rsidR="00B83890" w:rsidRPr="00E1167D" w:rsidRDefault="00B83890" w:rsidP="006E6DC8">
            <w:pPr>
              <w:rPr>
                <w:b/>
              </w:rPr>
            </w:pPr>
            <w:r w:rsidRPr="00E1167D">
              <w:rPr>
                <w:b/>
              </w:rPr>
              <w:t>Charter and purpose</w:t>
            </w:r>
          </w:p>
        </w:tc>
      </w:tr>
      <w:tr w:rsidR="00B83890" w:rsidRPr="005904AB" w:rsidTr="006E6DC8">
        <w:tc>
          <w:tcPr>
            <w:tcW w:w="2088" w:type="dxa"/>
          </w:tcPr>
          <w:p w:rsidR="00B83890" w:rsidRPr="005904AB" w:rsidRDefault="00B83890" w:rsidP="006E6DC8">
            <w:r w:rsidRPr="005904AB">
              <w:t>FRD 22</w:t>
            </w:r>
            <w:r>
              <w:t>D</w:t>
            </w:r>
          </w:p>
        </w:tc>
        <w:tc>
          <w:tcPr>
            <w:tcW w:w="5400" w:type="dxa"/>
          </w:tcPr>
          <w:p w:rsidR="00B83890" w:rsidRPr="00A5447B" w:rsidRDefault="00B83890" w:rsidP="006E6DC8">
            <w:r w:rsidRPr="00A5447B">
              <w:t>Manner of establishment of the relevant ministers</w:t>
            </w:r>
          </w:p>
        </w:tc>
        <w:tc>
          <w:tcPr>
            <w:tcW w:w="1440" w:type="dxa"/>
          </w:tcPr>
          <w:p w:rsidR="00B83890" w:rsidRPr="00A5447B" w:rsidRDefault="00B83890" w:rsidP="006E6DC8"/>
        </w:tc>
      </w:tr>
      <w:tr w:rsidR="00B83890" w:rsidRPr="005904AB" w:rsidTr="006E6DC8">
        <w:tc>
          <w:tcPr>
            <w:tcW w:w="2088" w:type="dxa"/>
          </w:tcPr>
          <w:p w:rsidR="00B83890" w:rsidRPr="005904AB" w:rsidRDefault="00B83890" w:rsidP="006E6DC8">
            <w:r w:rsidRPr="005904AB">
              <w:t>FRD 22</w:t>
            </w:r>
            <w:r>
              <w:t>D</w:t>
            </w:r>
          </w:p>
        </w:tc>
        <w:tc>
          <w:tcPr>
            <w:tcW w:w="5400" w:type="dxa"/>
          </w:tcPr>
          <w:p w:rsidR="00B83890" w:rsidRPr="00A5447B" w:rsidRDefault="00B83890" w:rsidP="006E6DC8">
            <w:r w:rsidRPr="00A5447B">
              <w:t>Objectives, functions, powers and duties</w:t>
            </w:r>
          </w:p>
        </w:tc>
        <w:tc>
          <w:tcPr>
            <w:tcW w:w="1440" w:type="dxa"/>
          </w:tcPr>
          <w:p w:rsidR="00B83890" w:rsidRPr="00A5447B" w:rsidRDefault="00B83890" w:rsidP="006E6DC8">
            <w:r w:rsidRPr="00A5447B">
              <w:t>6–7, 29</w:t>
            </w:r>
          </w:p>
        </w:tc>
      </w:tr>
      <w:tr w:rsidR="00B83890" w:rsidRPr="005904AB" w:rsidTr="006E6DC8">
        <w:tc>
          <w:tcPr>
            <w:tcW w:w="2088" w:type="dxa"/>
          </w:tcPr>
          <w:p w:rsidR="00B83890" w:rsidRPr="005904AB" w:rsidRDefault="00B83890" w:rsidP="006E6DC8">
            <w:r w:rsidRPr="005904AB">
              <w:t>FRD 22</w:t>
            </w:r>
            <w:r>
              <w:t>D</w:t>
            </w:r>
          </w:p>
        </w:tc>
        <w:tc>
          <w:tcPr>
            <w:tcW w:w="5400" w:type="dxa"/>
          </w:tcPr>
          <w:p w:rsidR="00B83890" w:rsidRPr="00A5447B" w:rsidRDefault="00B83890" w:rsidP="006E6DC8">
            <w:r w:rsidRPr="00A5447B">
              <w:t>Nature and range of services provided</w:t>
            </w:r>
          </w:p>
        </w:tc>
        <w:tc>
          <w:tcPr>
            <w:tcW w:w="1440" w:type="dxa"/>
          </w:tcPr>
          <w:p w:rsidR="00B83890" w:rsidRPr="00A5447B" w:rsidRDefault="00994BAF" w:rsidP="006E6DC8">
            <w:r w:rsidRPr="00A5447B">
              <w:t>6–7,13–28</w:t>
            </w:r>
          </w:p>
        </w:tc>
      </w:tr>
      <w:tr w:rsidR="00B83890" w:rsidRPr="005904AB" w:rsidTr="006E6DC8">
        <w:tc>
          <w:tcPr>
            <w:tcW w:w="8928" w:type="dxa"/>
            <w:gridSpan w:val="3"/>
          </w:tcPr>
          <w:p w:rsidR="00B83890" w:rsidRPr="00A5447B" w:rsidRDefault="00B83890" w:rsidP="006E6DC8"/>
        </w:tc>
      </w:tr>
      <w:tr w:rsidR="00B83890" w:rsidRPr="005904AB" w:rsidTr="006E6DC8">
        <w:tc>
          <w:tcPr>
            <w:tcW w:w="8928" w:type="dxa"/>
            <w:gridSpan w:val="3"/>
          </w:tcPr>
          <w:p w:rsidR="00B83890" w:rsidRPr="00A5447B" w:rsidRDefault="00B83890" w:rsidP="006E6DC8">
            <w:r w:rsidRPr="00A5447B">
              <w:t>Management and structure</w:t>
            </w:r>
          </w:p>
        </w:tc>
      </w:tr>
      <w:tr w:rsidR="00B83890" w:rsidRPr="005904AB" w:rsidTr="006E6DC8">
        <w:tc>
          <w:tcPr>
            <w:tcW w:w="2088" w:type="dxa"/>
          </w:tcPr>
          <w:p w:rsidR="00B83890" w:rsidRPr="005904AB" w:rsidRDefault="00B83890" w:rsidP="006E6DC8">
            <w:r w:rsidRPr="005904AB">
              <w:t>FRD 22</w:t>
            </w:r>
            <w:r>
              <w:t>D</w:t>
            </w:r>
          </w:p>
        </w:tc>
        <w:tc>
          <w:tcPr>
            <w:tcW w:w="5400" w:type="dxa"/>
          </w:tcPr>
          <w:p w:rsidR="00B83890" w:rsidRPr="00A5447B" w:rsidRDefault="00B83890" w:rsidP="006E6DC8">
            <w:r w:rsidRPr="00A5447B">
              <w:t>Organisational structure</w:t>
            </w:r>
          </w:p>
        </w:tc>
        <w:tc>
          <w:tcPr>
            <w:tcW w:w="1440" w:type="dxa"/>
          </w:tcPr>
          <w:p w:rsidR="00B83890" w:rsidRPr="00A5447B" w:rsidRDefault="00B83890" w:rsidP="006E6DC8">
            <w:r w:rsidRPr="00A5447B">
              <w:t>32</w:t>
            </w:r>
          </w:p>
        </w:tc>
      </w:tr>
      <w:tr w:rsidR="00B83890" w:rsidRPr="005904AB" w:rsidTr="006E6DC8">
        <w:tc>
          <w:tcPr>
            <w:tcW w:w="8928" w:type="dxa"/>
            <w:gridSpan w:val="3"/>
          </w:tcPr>
          <w:p w:rsidR="00B83890" w:rsidRPr="00A5447B" w:rsidRDefault="00B83890" w:rsidP="006E6DC8"/>
        </w:tc>
      </w:tr>
      <w:tr w:rsidR="00B83890" w:rsidRPr="005904AB" w:rsidTr="006E6DC8">
        <w:tc>
          <w:tcPr>
            <w:tcW w:w="8928" w:type="dxa"/>
            <w:gridSpan w:val="3"/>
          </w:tcPr>
          <w:p w:rsidR="00B83890" w:rsidRPr="00A5447B" w:rsidRDefault="00B83890" w:rsidP="006E6DC8">
            <w:r w:rsidRPr="00A5447B">
              <w:t>Financial and other information</w:t>
            </w:r>
          </w:p>
        </w:tc>
      </w:tr>
      <w:tr w:rsidR="00B83890" w:rsidRPr="005904AB" w:rsidTr="006E6DC8">
        <w:tc>
          <w:tcPr>
            <w:tcW w:w="2088" w:type="dxa"/>
          </w:tcPr>
          <w:p w:rsidR="00B83890" w:rsidRPr="005904AB" w:rsidRDefault="00B83890" w:rsidP="006E6DC8">
            <w:r w:rsidRPr="005904AB">
              <w:t>FRD 22</w:t>
            </w:r>
            <w:r>
              <w:t>D</w:t>
            </w:r>
          </w:p>
        </w:tc>
        <w:tc>
          <w:tcPr>
            <w:tcW w:w="5400" w:type="dxa"/>
          </w:tcPr>
          <w:p w:rsidR="00B83890" w:rsidRPr="00A5447B" w:rsidRDefault="00B83890" w:rsidP="006E6DC8">
            <w:r w:rsidRPr="00A5447B">
              <w:t>Statement of workforce data, and merit and equity</w:t>
            </w:r>
          </w:p>
        </w:tc>
        <w:tc>
          <w:tcPr>
            <w:tcW w:w="1440" w:type="dxa"/>
          </w:tcPr>
          <w:p w:rsidR="00B83890" w:rsidRPr="00A5447B" w:rsidRDefault="00994BAF" w:rsidP="006E6DC8">
            <w:r w:rsidRPr="00A5447B">
              <w:t>33–35</w:t>
            </w:r>
          </w:p>
        </w:tc>
      </w:tr>
      <w:tr w:rsidR="00B83890" w:rsidRPr="005904AB" w:rsidTr="006E6DC8">
        <w:tc>
          <w:tcPr>
            <w:tcW w:w="2088" w:type="dxa"/>
          </w:tcPr>
          <w:p w:rsidR="00B83890" w:rsidRPr="005904AB" w:rsidRDefault="00B83890" w:rsidP="006E6DC8">
            <w:r w:rsidRPr="005904AB">
              <w:t>FRD 22</w:t>
            </w:r>
            <w:r>
              <w:t>D</w:t>
            </w:r>
          </w:p>
        </w:tc>
        <w:tc>
          <w:tcPr>
            <w:tcW w:w="5400" w:type="dxa"/>
          </w:tcPr>
          <w:p w:rsidR="00B83890" w:rsidRPr="00A5447B" w:rsidRDefault="00B83890" w:rsidP="006E6DC8">
            <w:r w:rsidRPr="00A5447B">
              <w:t>Summary of the financial results for the year</w:t>
            </w:r>
          </w:p>
        </w:tc>
        <w:tc>
          <w:tcPr>
            <w:tcW w:w="1440" w:type="dxa"/>
          </w:tcPr>
          <w:p w:rsidR="00B83890" w:rsidRPr="00A5447B" w:rsidRDefault="00B83890" w:rsidP="006E6DC8">
            <w:r w:rsidRPr="00A5447B">
              <w:t>8–9</w:t>
            </w:r>
          </w:p>
        </w:tc>
      </w:tr>
      <w:tr w:rsidR="00B83890" w:rsidRPr="005904AB" w:rsidTr="006E6DC8">
        <w:tc>
          <w:tcPr>
            <w:tcW w:w="2088" w:type="dxa"/>
          </w:tcPr>
          <w:p w:rsidR="00B83890" w:rsidRPr="005904AB" w:rsidRDefault="00B83890" w:rsidP="006E6DC8">
            <w:r w:rsidRPr="005904AB">
              <w:t>FRD 22</w:t>
            </w:r>
            <w:r>
              <w:t>D</w:t>
            </w:r>
          </w:p>
        </w:tc>
        <w:tc>
          <w:tcPr>
            <w:tcW w:w="5400" w:type="dxa"/>
          </w:tcPr>
          <w:p w:rsidR="00B83890" w:rsidRPr="00A5447B" w:rsidRDefault="00B83890" w:rsidP="006E6DC8">
            <w:r w:rsidRPr="00A5447B">
              <w:t>Significant changes in financial position during the year</w:t>
            </w:r>
          </w:p>
        </w:tc>
        <w:tc>
          <w:tcPr>
            <w:tcW w:w="1440" w:type="dxa"/>
          </w:tcPr>
          <w:p w:rsidR="00B83890" w:rsidRPr="00A5447B" w:rsidRDefault="00B83890" w:rsidP="006E6DC8">
            <w:r w:rsidRPr="00A5447B">
              <w:t>8–9</w:t>
            </w:r>
          </w:p>
        </w:tc>
      </w:tr>
      <w:tr w:rsidR="00B83890" w:rsidRPr="005904AB" w:rsidTr="006E6DC8">
        <w:tc>
          <w:tcPr>
            <w:tcW w:w="2088" w:type="dxa"/>
          </w:tcPr>
          <w:p w:rsidR="00B83890" w:rsidRPr="005904AB" w:rsidRDefault="00B83890" w:rsidP="006E6DC8">
            <w:r w:rsidRPr="005904AB">
              <w:t>FRD 22</w:t>
            </w:r>
            <w:r>
              <w:t>D</w:t>
            </w:r>
          </w:p>
        </w:tc>
        <w:tc>
          <w:tcPr>
            <w:tcW w:w="5400" w:type="dxa"/>
          </w:tcPr>
          <w:p w:rsidR="00B83890" w:rsidRPr="00A5447B" w:rsidRDefault="00B83890" w:rsidP="006E6DC8">
            <w:r w:rsidRPr="00A5447B">
              <w:t>Operational and budgetary objectives, and performance against objectives</w:t>
            </w:r>
          </w:p>
        </w:tc>
        <w:tc>
          <w:tcPr>
            <w:tcW w:w="1440" w:type="dxa"/>
          </w:tcPr>
          <w:p w:rsidR="00B83890" w:rsidRPr="00A5447B" w:rsidRDefault="00B83890" w:rsidP="006E6DC8">
            <w:r w:rsidRPr="00A5447B">
              <w:t>8–9</w:t>
            </w:r>
          </w:p>
        </w:tc>
      </w:tr>
      <w:tr w:rsidR="00B83890" w:rsidRPr="005904AB" w:rsidTr="006E6DC8">
        <w:tc>
          <w:tcPr>
            <w:tcW w:w="2088" w:type="dxa"/>
          </w:tcPr>
          <w:p w:rsidR="00B83890" w:rsidRPr="005904AB" w:rsidRDefault="00B83890" w:rsidP="006E6DC8">
            <w:r w:rsidRPr="005904AB">
              <w:t>FRD 22</w:t>
            </w:r>
            <w:r>
              <w:t>D</w:t>
            </w:r>
          </w:p>
        </w:tc>
        <w:tc>
          <w:tcPr>
            <w:tcW w:w="5400" w:type="dxa"/>
          </w:tcPr>
          <w:p w:rsidR="00B83890" w:rsidRPr="00A5447B" w:rsidRDefault="00B83890" w:rsidP="006E6DC8">
            <w:r w:rsidRPr="00A5447B">
              <w:t>Major changes or factors affecting performance</w:t>
            </w:r>
          </w:p>
        </w:tc>
        <w:tc>
          <w:tcPr>
            <w:tcW w:w="1440" w:type="dxa"/>
          </w:tcPr>
          <w:p w:rsidR="00B83890" w:rsidRPr="00A5447B" w:rsidRDefault="00B83890" w:rsidP="006E6DC8">
            <w:r w:rsidRPr="00A5447B">
              <w:t>8–10</w:t>
            </w:r>
          </w:p>
        </w:tc>
      </w:tr>
      <w:tr w:rsidR="00B83890" w:rsidRPr="005904AB" w:rsidTr="006E6DC8">
        <w:tc>
          <w:tcPr>
            <w:tcW w:w="2088" w:type="dxa"/>
          </w:tcPr>
          <w:p w:rsidR="00B83890" w:rsidRPr="005904AB" w:rsidRDefault="00B83890" w:rsidP="006E6DC8">
            <w:r w:rsidRPr="005904AB">
              <w:t>FRD 22</w:t>
            </w:r>
            <w:r>
              <w:t>D</w:t>
            </w:r>
          </w:p>
        </w:tc>
        <w:tc>
          <w:tcPr>
            <w:tcW w:w="5400" w:type="dxa"/>
          </w:tcPr>
          <w:p w:rsidR="00B83890" w:rsidRPr="00A5447B" w:rsidRDefault="00B83890" w:rsidP="006E6DC8">
            <w:r w:rsidRPr="00A5447B">
              <w:t>Subsequent events</w:t>
            </w:r>
          </w:p>
        </w:tc>
        <w:tc>
          <w:tcPr>
            <w:tcW w:w="1440" w:type="dxa"/>
          </w:tcPr>
          <w:p w:rsidR="00B83890" w:rsidRPr="00A5447B" w:rsidRDefault="00994BAF" w:rsidP="006E6DC8">
            <w:r w:rsidRPr="00A5447B">
              <w:t>46</w:t>
            </w:r>
          </w:p>
        </w:tc>
      </w:tr>
      <w:tr w:rsidR="00B83890" w:rsidRPr="005904AB" w:rsidTr="006E6DC8">
        <w:tc>
          <w:tcPr>
            <w:tcW w:w="2088" w:type="dxa"/>
          </w:tcPr>
          <w:p w:rsidR="00B83890" w:rsidRPr="005904AB" w:rsidRDefault="00B83890" w:rsidP="006E6DC8">
            <w:r w:rsidRPr="005904AB">
              <w:t>FRD 22</w:t>
            </w:r>
            <w:r>
              <w:t>D</w:t>
            </w:r>
          </w:p>
        </w:tc>
        <w:tc>
          <w:tcPr>
            <w:tcW w:w="5400" w:type="dxa"/>
          </w:tcPr>
          <w:p w:rsidR="00B83890" w:rsidRPr="00A5447B" w:rsidRDefault="00B83890" w:rsidP="006E6DC8">
            <w:r w:rsidRPr="00A5447B">
              <w:t xml:space="preserve">Application and operation of </w:t>
            </w:r>
            <w:r w:rsidRPr="00A5447B">
              <w:rPr>
                <w:i/>
              </w:rPr>
              <w:t>Freedom of Information Act 1982</w:t>
            </w:r>
          </w:p>
        </w:tc>
        <w:tc>
          <w:tcPr>
            <w:tcW w:w="1440" w:type="dxa"/>
          </w:tcPr>
          <w:p w:rsidR="00B83890" w:rsidRPr="00A5447B" w:rsidRDefault="00B83890" w:rsidP="006E6DC8">
            <w:r w:rsidRPr="00A5447B">
              <w:t>66–67</w:t>
            </w:r>
          </w:p>
        </w:tc>
      </w:tr>
      <w:tr w:rsidR="00B83890" w:rsidRPr="005904AB" w:rsidTr="006E6DC8">
        <w:tc>
          <w:tcPr>
            <w:tcW w:w="2088" w:type="dxa"/>
          </w:tcPr>
          <w:p w:rsidR="00B83890" w:rsidRPr="005904AB" w:rsidRDefault="00B83890" w:rsidP="006E6DC8">
            <w:r w:rsidRPr="005904AB">
              <w:t>FRD 22</w:t>
            </w:r>
            <w:r>
              <w:t>D</w:t>
            </w:r>
          </w:p>
        </w:tc>
        <w:tc>
          <w:tcPr>
            <w:tcW w:w="5400" w:type="dxa"/>
          </w:tcPr>
          <w:p w:rsidR="00B83890" w:rsidRPr="00A5447B" w:rsidRDefault="00B83890" w:rsidP="006E6DC8">
            <w:r w:rsidRPr="00A5447B">
              <w:t xml:space="preserve">Compliance with building and maintenance provisions of </w:t>
            </w:r>
            <w:r w:rsidRPr="00A5447B">
              <w:rPr>
                <w:i/>
              </w:rPr>
              <w:t>Building Act 1993</w:t>
            </w:r>
          </w:p>
        </w:tc>
        <w:tc>
          <w:tcPr>
            <w:tcW w:w="1440" w:type="dxa"/>
          </w:tcPr>
          <w:p w:rsidR="00B83890" w:rsidRPr="00A5447B" w:rsidRDefault="00B83890" w:rsidP="006E6DC8">
            <w:r w:rsidRPr="00A5447B">
              <w:t>70</w:t>
            </w:r>
          </w:p>
        </w:tc>
      </w:tr>
      <w:tr w:rsidR="00B83890" w:rsidRPr="005904AB" w:rsidTr="006E6DC8">
        <w:tc>
          <w:tcPr>
            <w:tcW w:w="2088" w:type="dxa"/>
          </w:tcPr>
          <w:p w:rsidR="00B83890" w:rsidRPr="005904AB" w:rsidRDefault="00B83890" w:rsidP="006E6DC8">
            <w:r w:rsidRPr="005904AB">
              <w:t>FRD 22</w:t>
            </w:r>
            <w:r>
              <w:t>D</w:t>
            </w:r>
          </w:p>
        </w:tc>
        <w:tc>
          <w:tcPr>
            <w:tcW w:w="5400" w:type="dxa"/>
          </w:tcPr>
          <w:p w:rsidR="00B83890" w:rsidRPr="00A5447B" w:rsidRDefault="00B83890" w:rsidP="006E6DC8">
            <w:r w:rsidRPr="00A5447B">
              <w:t>Statement on National Competition Policy</w:t>
            </w:r>
          </w:p>
        </w:tc>
        <w:tc>
          <w:tcPr>
            <w:tcW w:w="1440" w:type="dxa"/>
          </w:tcPr>
          <w:p w:rsidR="00B83890" w:rsidRPr="00A5447B" w:rsidRDefault="00B83890" w:rsidP="006E6DC8">
            <w:r w:rsidRPr="00A5447B">
              <w:t>69</w:t>
            </w:r>
          </w:p>
        </w:tc>
      </w:tr>
      <w:tr w:rsidR="00B83890" w:rsidRPr="005904AB" w:rsidTr="006E6DC8">
        <w:tc>
          <w:tcPr>
            <w:tcW w:w="2088" w:type="dxa"/>
          </w:tcPr>
          <w:p w:rsidR="00B83890" w:rsidRPr="005904AB" w:rsidRDefault="00B83890" w:rsidP="006E6DC8">
            <w:r w:rsidRPr="005904AB">
              <w:t>FRD 22</w:t>
            </w:r>
            <w:r>
              <w:t>D</w:t>
            </w:r>
          </w:p>
        </w:tc>
        <w:tc>
          <w:tcPr>
            <w:tcW w:w="5400" w:type="dxa"/>
          </w:tcPr>
          <w:p w:rsidR="00B83890" w:rsidRPr="00A5447B" w:rsidRDefault="00B83890" w:rsidP="006E6DC8">
            <w:r w:rsidRPr="00A5447B">
              <w:t xml:space="preserve">Application and operation of the </w:t>
            </w:r>
            <w:r w:rsidRPr="00A5447B">
              <w:rPr>
                <w:i/>
              </w:rPr>
              <w:t>Protected Disclosure Act 2012</w:t>
            </w:r>
          </w:p>
        </w:tc>
        <w:tc>
          <w:tcPr>
            <w:tcW w:w="1440" w:type="dxa"/>
          </w:tcPr>
          <w:p w:rsidR="00B83890" w:rsidRPr="00A5447B" w:rsidRDefault="00B83890" w:rsidP="006E6DC8">
            <w:r w:rsidRPr="00A5447B">
              <w:t>71</w:t>
            </w:r>
          </w:p>
        </w:tc>
      </w:tr>
      <w:tr w:rsidR="00B83890" w:rsidRPr="005904AB" w:rsidTr="006E6DC8">
        <w:tc>
          <w:tcPr>
            <w:tcW w:w="2088" w:type="dxa"/>
          </w:tcPr>
          <w:p w:rsidR="00B83890" w:rsidRPr="005904AB" w:rsidRDefault="00B83890" w:rsidP="006E6DC8">
            <w:r w:rsidRPr="005904AB">
              <w:t>FRD 22</w:t>
            </w:r>
            <w:r>
              <w:t>C</w:t>
            </w:r>
          </w:p>
        </w:tc>
        <w:tc>
          <w:tcPr>
            <w:tcW w:w="5400" w:type="dxa"/>
          </w:tcPr>
          <w:p w:rsidR="00B83890" w:rsidRPr="00A5447B" w:rsidRDefault="00B83890" w:rsidP="006E6DC8">
            <w:r w:rsidRPr="00A5447B">
              <w:t>Details of consultancies over $10,000</w:t>
            </w:r>
          </w:p>
        </w:tc>
        <w:tc>
          <w:tcPr>
            <w:tcW w:w="1440" w:type="dxa"/>
          </w:tcPr>
          <w:p w:rsidR="00B83890" w:rsidRPr="00A5447B" w:rsidRDefault="00B83890" w:rsidP="006E6DC8">
            <w:r w:rsidRPr="00A5447B">
              <w:t>70</w:t>
            </w:r>
          </w:p>
        </w:tc>
      </w:tr>
      <w:tr w:rsidR="00B83890" w:rsidRPr="005904AB" w:rsidTr="006E6DC8">
        <w:tc>
          <w:tcPr>
            <w:tcW w:w="2088" w:type="dxa"/>
          </w:tcPr>
          <w:p w:rsidR="00B83890" w:rsidRPr="005904AB" w:rsidRDefault="00B83890" w:rsidP="006E6DC8">
            <w:r w:rsidRPr="005904AB">
              <w:t>FRD 22</w:t>
            </w:r>
            <w:r>
              <w:t>C</w:t>
            </w:r>
          </w:p>
        </w:tc>
        <w:tc>
          <w:tcPr>
            <w:tcW w:w="5400" w:type="dxa"/>
          </w:tcPr>
          <w:p w:rsidR="00B83890" w:rsidRPr="00A5447B" w:rsidRDefault="00B83890" w:rsidP="006E6DC8">
            <w:r w:rsidRPr="00A5447B">
              <w:t>Details of consultancies under $10,000</w:t>
            </w:r>
          </w:p>
        </w:tc>
        <w:tc>
          <w:tcPr>
            <w:tcW w:w="1440" w:type="dxa"/>
          </w:tcPr>
          <w:p w:rsidR="00B83890" w:rsidRPr="00A5447B" w:rsidRDefault="00B83890" w:rsidP="006E6DC8">
            <w:r w:rsidRPr="00A5447B">
              <w:t>70</w:t>
            </w:r>
          </w:p>
        </w:tc>
      </w:tr>
      <w:tr w:rsidR="00B83890" w:rsidRPr="005904AB" w:rsidTr="006E6DC8">
        <w:tc>
          <w:tcPr>
            <w:tcW w:w="2088" w:type="dxa"/>
          </w:tcPr>
          <w:p w:rsidR="00B83890" w:rsidRPr="005904AB" w:rsidRDefault="00B83890" w:rsidP="006E6DC8">
            <w:r w:rsidRPr="005904AB">
              <w:t>FRD 12</w:t>
            </w:r>
          </w:p>
        </w:tc>
        <w:tc>
          <w:tcPr>
            <w:tcW w:w="5400" w:type="dxa"/>
          </w:tcPr>
          <w:p w:rsidR="00B83890" w:rsidRPr="00A5447B" w:rsidRDefault="00B83890" w:rsidP="006E6DC8">
            <w:r w:rsidRPr="00A5447B">
              <w:t>Disclosure of major contracts</w:t>
            </w:r>
          </w:p>
        </w:tc>
        <w:tc>
          <w:tcPr>
            <w:tcW w:w="1440" w:type="dxa"/>
          </w:tcPr>
          <w:p w:rsidR="00B83890" w:rsidRPr="00A5447B" w:rsidRDefault="00B83890" w:rsidP="006E6DC8">
            <w:r w:rsidRPr="00A5447B">
              <w:t>70</w:t>
            </w:r>
          </w:p>
        </w:tc>
      </w:tr>
      <w:tr w:rsidR="00B83890" w:rsidRPr="005904AB" w:rsidTr="006E6DC8">
        <w:tc>
          <w:tcPr>
            <w:tcW w:w="2088" w:type="dxa"/>
          </w:tcPr>
          <w:p w:rsidR="00B83890" w:rsidRPr="005904AB" w:rsidRDefault="00B83890" w:rsidP="006E6DC8">
            <w:r w:rsidRPr="005904AB">
              <w:t>FRD 22</w:t>
            </w:r>
            <w:r>
              <w:t>D</w:t>
            </w:r>
          </w:p>
        </w:tc>
        <w:tc>
          <w:tcPr>
            <w:tcW w:w="5400" w:type="dxa"/>
          </w:tcPr>
          <w:p w:rsidR="00B83890" w:rsidRPr="00A5447B" w:rsidRDefault="00B83890" w:rsidP="006E6DC8">
            <w:r w:rsidRPr="00A5447B">
              <w:t>Statement of availability of other information</w:t>
            </w:r>
          </w:p>
        </w:tc>
        <w:tc>
          <w:tcPr>
            <w:tcW w:w="1440" w:type="dxa"/>
          </w:tcPr>
          <w:p w:rsidR="00B83890" w:rsidRPr="00A5447B" w:rsidRDefault="00B83890" w:rsidP="006E6DC8">
            <w:r w:rsidRPr="00A5447B">
              <w:t>67–68</w:t>
            </w:r>
          </w:p>
        </w:tc>
      </w:tr>
      <w:tr w:rsidR="00B83890" w:rsidRPr="005904AB" w:rsidTr="006E6DC8">
        <w:tc>
          <w:tcPr>
            <w:tcW w:w="2088" w:type="dxa"/>
          </w:tcPr>
          <w:p w:rsidR="00B83890" w:rsidRPr="005904AB" w:rsidRDefault="00B83890" w:rsidP="006E6DC8">
            <w:r w:rsidRPr="005904AB">
              <w:t>FRD 22</w:t>
            </w:r>
            <w:r>
              <w:t>D</w:t>
            </w:r>
          </w:p>
        </w:tc>
        <w:tc>
          <w:tcPr>
            <w:tcW w:w="5400" w:type="dxa"/>
          </w:tcPr>
          <w:p w:rsidR="00B83890" w:rsidRPr="00A5447B" w:rsidRDefault="00B83890" w:rsidP="006E6DC8">
            <w:r w:rsidRPr="00A5447B">
              <w:t>Occupational health and safety</w:t>
            </w:r>
          </w:p>
        </w:tc>
        <w:tc>
          <w:tcPr>
            <w:tcW w:w="1440" w:type="dxa"/>
          </w:tcPr>
          <w:p w:rsidR="00B83890" w:rsidRPr="00A5447B" w:rsidRDefault="00B83890" w:rsidP="006E6DC8">
            <w:r w:rsidRPr="00A5447B">
              <w:t>35</w:t>
            </w:r>
          </w:p>
        </w:tc>
      </w:tr>
      <w:tr w:rsidR="00B83890" w:rsidRPr="005904AB" w:rsidTr="006E6DC8">
        <w:tc>
          <w:tcPr>
            <w:tcW w:w="2088" w:type="dxa"/>
          </w:tcPr>
          <w:p w:rsidR="00B83890" w:rsidRPr="0038143B" w:rsidRDefault="00B83890" w:rsidP="006E6DC8">
            <w:r w:rsidRPr="0038143B">
              <w:t>FRD 15</w:t>
            </w:r>
          </w:p>
        </w:tc>
        <w:tc>
          <w:tcPr>
            <w:tcW w:w="5400" w:type="dxa"/>
          </w:tcPr>
          <w:p w:rsidR="00B83890" w:rsidRPr="00A5447B" w:rsidRDefault="00B83890" w:rsidP="006E6DC8">
            <w:r w:rsidRPr="00A5447B">
              <w:t>Executive officer disclosures</w:t>
            </w:r>
          </w:p>
        </w:tc>
        <w:tc>
          <w:tcPr>
            <w:tcW w:w="1440" w:type="dxa"/>
          </w:tcPr>
          <w:p w:rsidR="00B83890" w:rsidRPr="00A5447B" w:rsidRDefault="00B83890" w:rsidP="006E6DC8">
            <w:r w:rsidRPr="00A5447B">
              <w:t>2,36</w:t>
            </w:r>
          </w:p>
        </w:tc>
      </w:tr>
      <w:tr w:rsidR="00B83890" w:rsidRPr="005904AB" w:rsidTr="006E6DC8">
        <w:tc>
          <w:tcPr>
            <w:tcW w:w="2088" w:type="dxa"/>
          </w:tcPr>
          <w:p w:rsidR="00B83890" w:rsidRPr="005904AB" w:rsidRDefault="00B83890" w:rsidP="006E6DC8">
            <w:r w:rsidRPr="005904AB">
              <w:t>FRD 10</w:t>
            </w:r>
          </w:p>
        </w:tc>
        <w:tc>
          <w:tcPr>
            <w:tcW w:w="5400" w:type="dxa"/>
          </w:tcPr>
          <w:p w:rsidR="00B83890" w:rsidRPr="00A5447B" w:rsidRDefault="00B83890" w:rsidP="006E6DC8">
            <w:r w:rsidRPr="00A5447B">
              <w:t>Disclosure index</w:t>
            </w:r>
          </w:p>
        </w:tc>
        <w:tc>
          <w:tcPr>
            <w:tcW w:w="1440" w:type="dxa"/>
          </w:tcPr>
          <w:p w:rsidR="00B83890" w:rsidRPr="00A5447B" w:rsidRDefault="00B83890" w:rsidP="006E6DC8">
            <w:r w:rsidRPr="00A5447B">
              <w:t>74–75</w:t>
            </w:r>
          </w:p>
        </w:tc>
      </w:tr>
      <w:tr w:rsidR="00B83890" w:rsidRPr="005904AB" w:rsidTr="006E6DC8">
        <w:tc>
          <w:tcPr>
            <w:tcW w:w="2088" w:type="dxa"/>
          </w:tcPr>
          <w:p w:rsidR="00B83890" w:rsidRPr="005904AB" w:rsidRDefault="00B83890" w:rsidP="006E6DC8">
            <w:r>
              <w:t>FRD 25A</w:t>
            </w:r>
          </w:p>
        </w:tc>
        <w:tc>
          <w:tcPr>
            <w:tcW w:w="5400" w:type="dxa"/>
          </w:tcPr>
          <w:p w:rsidR="00B83890" w:rsidRPr="00A5447B" w:rsidRDefault="00B83890" w:rsidP="006E6DC8">
            <w:r w:rsidRPr="00A5447B">
              <w:t>Victorian Industry Participation Policy disclosures</w:t>
            </w:r>
          </w:p>
        </w:tc>
        <w:tc>
          <w:tcPr>
            <w:tcW w:w="1440" w:type="dxa"/>
          </w:tcPr>
          <w:p w:rsidR="00B83890" w:rsidRPr="00A5447B" w:rsidRDefault="00B83890" w:rsidP="006E6DC8">
            <w:r w:rsidRPr="00A5447B">
              <w:t>70</w:t>
            </w:r>
          </w:p>
        </w:tc>
      </w:tr>
      <w:tr w:rsidR="00B83890" w:rsidRPr="005904AB" w:rsidTr="006E6DC8">
        <w:tc>
          <w:tcPr>
            <w:tcW w:w="2088" w:type="dxa"/>
          </w:tcPr>
          <w:p w:rsidR="00B83890" w:rsidRDefault="00B83890" w:rsidP="006E6DC8">
            <w:r>
              <w:t>SD 4.5.5</w:t>
            </w:r>
          </w:p>
        </w:tc>
        <w:tc>
          <w:tcPr>
            <w:tcW w:w="5400" w:type="dxa"/>
          </w:tcPr>
          <w:p w:rsidR="00B83890" w:rsidRPr="00A5447B" w:rsidRDefault="00B83890" w:rsidP="006E6DC8">
            <w:r w:rsidRPr="00A5447B">
              <w:t>Risk management compliance attestation</w:t>
            </w:r>
          </w:p>
        </w:tc>
        <w:tc>
          <w:tcPr>
            <w:tcW w:w="1440" w:type="dxa"/>
          </w:tcPr>
          <w:p w:rsidR="00B83890" w:rsidRPr="00A5447B" w:rsidRDefault="00B83890" w:rsidP="006E6DC8">
            <w:r w:rsidRPr="00A5447B">
              <w:t>69</w:t>
            </w:r>
          </w:p>
        </w:tc>
      </w:tr>
      <w:tr w:rsidR="00B83890" w:rsidRPr="005904AB" w:rsidTr="006E6DC8">
        <w:tc>
          <w:tcPr>
            <w:tcW w:w="2088" w:type="dxa"/>
          </w:tcPr>
          <w:p w:rsidR="00B83890" w:rsidRDefault="00B83890" w:rsidP="006E6DC8">
            <w:r>
              <w:t>SD 4.5.5.1</w:t>
            </w:r>
          </w:p>
        </w:tc>
        <w:tc>
          <w:tcPr>
            <w:tcW w:w="5400" w:type="dxa"/>
          </w:tcPr>
          <w:p w:rsidR="00B83890" w:rsidRPr="00A5447B" w:rsidRDefault="00B83890" w:rsidP="006E6DC8">
            <w:r w:rsidRPr="00A5447B">
              <w:t>Insurance compliance attestation</w:t>
            </w:r>
          </w:p>
        </w:tc>
        <w:tc>
          <w:tcPr>
            <w:tcW w:w="1440" w:type="dxa"/>
          </w:tcPr>
          <w:p w:rsidR="00B83890" w:rsidRPr="00A5447B" w:rsidRDefault="00B83890" w:rsidP="006E6DC8">
            <w:r w:rsidRPr="00A5447B">
              <w:t>69</w:t>
            </w:r>
          </w:p>
        </w:tc>
      </w:tr>
      <w:tr w:rsidR="00B83890" w:rsidRPr="005904AB" w:rsidTr="006E6DC8">
        <w:tc>
          <w:tcPr>
            <w:tcW w:w="2088" w:type="dxa"/>
          </w:tcPr>
          <w:p w:rsidR="00B83890" w:rsidRDefault="00B83890" w:rsidP="006E6DC8">
            <w:r>
              <w:t>SD 4.2(j)</w:t>
            </w:r>
          </w:p>
        </w:tc>
        <w:tc>
          <w:tcPr>
            <w:tcW w:w="5400" w:type="dxa"/>
          </w:tcPr>
          <w:p w:rsidR="00B83890" w:rsidRPr="00A5447B" w:rsidRDefault="00B83890" w:rsidP="006E6DC8">
            <w:r w:rsidRPr="00A5447B">
              <w:t>Sign-off requirements</w:t>
            </w:r>
          </w:p>
        </w:tc>
        <w:tc>
          <w:tcPr>
            <w:tcW w:w="1440" w:type="dxa"/>
          </w:tcPr>
          <w:p w:rsidR="00B83890" w:rsidRPr="00A5447B" w:rsidRDefault="00B83890" w:rsidP="006E6DC8">
            <w:r w:rsidRPr="00A5447B">
              <w:t>36</w:t>
            </w:r>
          </w:p>
        </w:tc>
      </w:tr>
      <w:tr w:rsidR="00B83890" w:rsidRPr="005904AB" w:rsidTr="006E6DC8">
        <w:tc>
          <w:tcPr>
            <w:tcW w:w="2088" w:type="dxa"/>
          </w:tcPr>
          <w:p w:rsidR="00B83890" w:rsidRPr="005904AB" w:rsidRDefault="00B83890" w:rsidP="006E6DC8">
            <w:r w:rsidRPr="005904AB">
              <w:t>FRD 8</w:t>
            </w:r>
          </w:p>
        </w:tc>
        <w:tc>
          <w:tcPr>
            <w:tcW w:w="5400" w:type="dxa"/>
          </w:tcPr>
          <w:p w:rsidR="00B83890" w:rsidRPr="00A5447B" w:rsidRDefault="00B83890" w:rsidP="006E6DC8">
            <w:r w:rsidRPr="00A5447B">
              <w:t>Budget portfolio outcomes</w:t>
            </w:r>
          </w:p>
        </w:tc>
        <w:tc>
          <w:tcPr>
            <w:tcW w:w="1440" w:type="dxa"/>
          </w:tcPr>
          <w:p w:rsidR="00B83890" w:rsidRPr="00A5447B" w:rsidRDefault="00A5447B" w:rsidP="006E6DC8">
            <w:r w:rsidRPr="00A5447B">
              <w:t>8–10</w:t>
            </w:r>
          </w:p>
        </w:tc>
      </w:tr>
      <w:tr w:rsidR="00B83890" w:rsidRPr="005904AB" w:rsidTr="006E6DC8">
        <w:tc>
          <w:tcPr>
            <w:tcW w:w="8928" w:type="dxa"/>
            <w:gridSpan w:val="3"/>
          </w:tcPr>
          <w:p w:rsidR="00B83890" w:rsidRPr="00A5447B" w:rsidRDefault="00B83890" w:rsidP="006E6DC8"/>
        </w:tc>
      </w:tr>
      <w:tr w:rsidR="00B83890" w:rsidRPr="00E1167D" w:rsidTr="006E6DC8">
        <w:tc>
          <w:tcPr>
            <w:tcW w:w="7488" w:type="dxa"/>
            <w:gridSpan w:val="2"/>
          </w:tcPr>
          <w:p w:rsidR="00B83890" w:rsidRPr="00E1167D" w:rsidRDefault="00B83890" w:rsidP="006E6DC8">
            <w:pPr>
              <w:rPr>
                <w:b/>
              </w:rPr>
            </w:pPr>
            <w:r w:rsidRPr="00E1167D">
              <w:rPr>
                <w:b/>
              </w:rPr>
              <w:t>Financial Statements</w:t>
            </w:r>
          </w:p>
        </w:tc>
        <w:tc>
          <w:tcPr>
            <w:tcW w:w="1440" w:type="dxa"/>
          </w:tcPr>
          <w:p w:rsidR="00B83890" w:rsidRPr="00E1167D" w:rsidRDefault="00B83890" w:rsidP="006E6DC8">
            <w:pPr>
              <w:rPr>
                <w:b/>
              </w:rPr>
            </w:pPr>
          </w:p>
        </w:tc>
      </w:tr>
      <w:tr w:rsidR="00B83890" w:rsidRPr="00E1167D" w:rsidTr="006E6DC8">
        <w:tc>
          <w:tcPr>
            <w:tcW w:w="8928" w:type="dxa"/>
            <w:gridSpan w:val="3"/>
          </w:tcPr>
          <w:p w:rsidR="00B83890" w:rsidRPr="00E1167D" w:rsidRDefault="00B83890" w:rsidP="006E6DC8">
            <w:pPr>
              <w:rPr>
                <w:b/>
              </w:rPr>
            </w:pPr>
            <w:r w:rsidRPr="00E1167D">
              <w:rPr>
                <w:b/>
              </w:rPr>
              <w:t>Financial statements required under Part 7 of the FMA</w:t>
            </w:r>
          </w:p>
        </w:tc>
      </w:tr>
      <w:tr w:rsidR="00B83890" w:rsidRPr="005904AB" w:rsidTr="006E6DC8">
        <w:tc>
          <w:tcPr>
            <w:tcW w:w="2088" w:type="dxa"/>
          </w:tcPr>
          <w:p w:rsidR="00B83890" w:rsidRPr="005904AB" w:rsidRDefault="00B83890" w:rsidP="006E6DC8">
            <w:r w:rsidRPr="005904AB">
              <w:t>SD 4.2(c)</w:t>
            </w:r>
          </w:p>
        </w:tc>
        <w:tc>
          <w:tcPr>
            <w:tcW w:w="5400" w:type="dxa"/>
          </w:tcPr>
          <w:p w:rsidR="00B83890" w:rsidRPr="00A5447B" w:rsidRDefault="00B83890" w:rsidP="006E6DC8">
            <w:r w:rsidRPr="00A5447B">
              <w:t>Compliance with Australian accounting standards and other authoritative pronouncements</w:t>
            </w:r>
          </w:p>
        </w:tc>
        <w:tc>
          <w:tcPr>
            <w:tcW w:w="1440" w:type="dxa"/>
          </w:tcPr>
          <w:p w:rsidR="00B83890" w:rsidRPr="00A5447B" w:rsidRDefault="00B83890" w:rsidP="006E6DC8">
            <w:r w:rsidRPr="00A5447B">
              <w:t>41</w:t>
            </w:r>
          </w:p>
        </w:tc>
      </w:tr>
      <w:tr w:rsidR="00B83890" w:rsidRPr="005904AB" w:rsidTr="006E6DC8">
        <w:tc>
          <w:tcPr>
            <w:tcW w:w="2088" w:type="dxa"/>
          </w:tcPr>
          <w:p w:rsidR="00B83890" w:rsidRPr="005904AB" w:rsidRDefault="00B83890" w:rsidP="006E6DC8">
            <w:r w:rsidRPr="005904AB">
              <w:t>SD 4.2(c)</w:t>
            </w:r>
          </w:p>
        </w:tc>
        <w:tc>
          <w:tcPr>
            <w:tcW w:w="5400" w:type="dxa"/>
          </w:tcPr>
          <w:p w:rsidR="00B83890" w:rsidRPr="00A5447B" w:rsidRDefault="00B83890" w:rsidP="006E6DC8">
            <w:r w:rsidRPr="00A5447B">
              <w:t>Compliance with ministerial directions</w:t>
            </w:r>
          </w:p>
        </w:tc>
        <w:tc>
          <w:tcPr>
            <w:tcW w:w="1440" w:type="dxa"/>
          </w:tcPr>
          <w:p w:rsidR="00B83890" w:rsidRPr="00A5447B" w:rsidRDefault="00B83890" w:rsidP="006E6DC8">
            <w:r w:rsidRPr="00A5447B">
              <w:t>41</w:t>
            </w:r>
          </w:p>
        </w:tc>
      </w:tr>
      <w:tr w:rsidR="00B83890" w:rsidRPr="005904AB" w:rsidTr="006E6DC8">
        <w:tc>
          <w:tcPr>
            <w:tcW w:w="2088" w:type="dxa"/>
          </w:tcPr>
          <w:p w:rsidR="00B83890" w:rsidRPr="005904AB" w:rsidRDefault="00B83890" w:rsidP="006E6DC8">
            <w:r w:rsidRPr="005904AB">
              <w:t>SD 4.2(d)</w:t>
            </w:r>
          </w:p>
        </w:tc>
        <w:tc>
          <w:tcPr>
            <w:tcW w:w="5400" w:type="dxa"/>
          </w:tcPr>
          <w:p w:rsidR="00B83890" w:rsidRPr="00A5447B" w:rsidRDefault="00B83890" w:rsidP="006E6DC8">
            <w:r w:rsidRPr="00A5447B">
              <w:t>Rounding of amounts</w:t>
            </w:r>
          </w:p>
        </w:tc>
        <w:tc>
          <w:tcPr>
            <w:tcW w:w="1440" w:type="dxa"/>
          </w:tcPr>
          <w:p w:rsidR="00B83890" w:rsidRPr="00A5447B" w:rsidRDefault="00B83890" w:rsidP="006E6DC8">
            <w:r w:rsidRPr="00A5447B">
              <w:t>45</w:t>
            </w:r>
          </w:p>
        </w:tc>
      </w:tr>
      <w:tr w:rsidR="00B83890" w:rsidRPr="005904AB" w:rsidTr="006E6DC8">
        <w:tc>
          <w:tcPr>
            <w:tcW w:w="2088" w:type="dxa"/>
          </w:tcPr>
          <w:p w:rsidR="00B83890" w:rsidRPr="005904AB" w:rsidRDefault="00B83890" w:rsidP="006E6DC8">
            <w:r w:rsidRPr="005904AB">
              <w:t>SD 4.2(c)</w:t>
            </w:r>
          </w:p>
        </w:tc>
        <w:tc>
          <w:tcPr>
            <w:tcW w:w="5400" w:type="dxa"/>
          </w:tcPr>
          <w:p w:rsidR="00B83890" w:rsidRPr="00A5447B" w:rsidRDefault="00B83890" w:rsidP="006E6DC8">
            <w:r w:rsidRPr="00A5447B">
              <w:t>Accountable officer’s declaration</w:t>
            </w:r>
          </w:p>
        </w:tc>
        <w:tc>
          <w:tcPr>
            <w:tcW w:w="1440" w:type="dxa"/>
          </w:tcPr>
          <w:p w:rsidR="00B83890" w:rsidRPr="00A5447B" w:rsidRDefault="00B83890" w:rsidP="006E6DC8">
            <w:r w:rsidRPr="00A5447B">
              <w:t>2,36</w:t>
            </w:r>
          </w:p>
        </w:tc>
      </w:tr>
      <w:tr w:rsidR="00B83890" w:rsidRPr="005904AB" w:rsidTr="006E6DC8">
        <w:tc>
          <w:tcPr>
            <w:tcW w:w="2088" w:type="dxa"/>
          </w:tcPr>
          <w:p w:rsidR="00B83890" w:rsidRPr="005904AB" w:rsidRDefault="00B83890" w:rsidP="006E6DC8">
            <w:r w:rsidRPr="005904AB">
              <w:lastRenderedPageBreak/>
              <w:t>SD 4.2(b)</w:t>
            </w:r>
          </w:p>
        </w:tc>
        <w:tc>
          <w:tcPr>
            <w:tcW w:w="5400" w:type="dxa"/>
          </w:tcPr>
          <w:p w:rsidR="00B83890" w:rsidRPr="00A5447B" w:rsidRDefault="00B83890" w:rsidP="006E6DC8">
            <w:r w:rsidRPr="00A5447B">
              <w:t>Operating statement</w:t>
            </w:r>
          </w:p>
        </w:tc>
        <w:tc>
          <w:tcPr>
            <w:tcW w:w="1440" w:type="dxa"/>
          </w:tcPr>
          <w:p w:rsidR="00B83890" w:rsidRPr="00A5447B" w:rsidRDefault="00B83890" w:rsidP="006E6DC8">
            <w:r w:rsidRPr="00A5447B">
              <w:t>37</w:t>
            </w:r>
          </w:p>
        </w:tc>
      </w:tr>
      <w:tr w:rsidR="00B83890" w:rsidRPr="005904AB" w:rsidTr="006E6DC8">
        <w:tc>
          <w:tcPr>
            <w:tcW w:w="2088" w:type="dxa"/>
          </w:tcPr>
          <w:p w:rsidR="00B83890" w:rsidRPr="005904AB" w:rsidRDefault="00B83890" w:rsidP="006E6DC8">
            <w:r w:rsidRPr="005904AB">
              <w:t>SD 4.2(b)</w:t>
            </w:r>
          </w:p>
        </w:tc>
        <w:tc>
          <w:tcPr>
            <w:tcW w:w="5400" w:type="dxa"/>
          </w:tcPr>
          <w:p w:rsidR="00B83890" w:rsidRPr="00A5447B" w:rsidRDefault="00B83890" w:rsidP="006E6DC8">
            <w:r w:rsidRPr="00A5447B">
              <w:t>Balance sheet</w:t>
            </w:r>
          </w:p>
        </w:tc>
        <w:tc>
          <w:tcPr>
            <w:tcW w:w="1440" w:type="dxa"/>
          </w:tcPr>
          <w:p w:rsidR="00B83890" w:rsidRPr="00A5447B" w:rsidRDefault="00B83890" w:rsidP="006E6DC8">
            <w:r w:rsidRPr="00A5447B">
              <w:t>38</w:t>
            </w:r>
          </w:p>
        </w:tc>
      </w:tr>
      <w:tr w:rsidR="00B83890" w:rsidRPr="005904AB" w:rsidTr="006E6DC8">
        <w:tc>
          <w:tcPr>
            <w:tcW w:w="2088" w:type="dxa"/>
          </w:tcPr>
          <w:p w:rsidR="00B83890" w:rsidRPr="005904AB" w:rsidRDefault="00B83890" w:rsidP="006E6DC8">
            <w:r w:rsidRPr="005904AB">
              <w:t>SD 4.2(b)</w:t>
            </w:r>
          </w:p>
        </w:tc>
        <w:tc>
          <w:tcPr>
            <w:tcW w:w="5400" w:type="dxa"/>
          </w:tcPr>
          <w:p w:rsidR="00B83890" w:rsidRPr="00A5447B" w:rsidRDefault="00B83890" w:rsidP="006E6DC8">
            <w:r w:rsidRPr="00A5447B">
              <w:t>Statement of cash flows during the year</w:t>
            </w:r>
          </w:p>
        </w:tc>
        <w:tc>
          <w:tcPr>
            <w:tcW w:w="1440" w:type="dxa"/>
          </w:tcPr>
          <w:p w:rsidR="00B83890" w:rsidRPr="00A5447B" w:rsidRDefault="00B83890" w:rsidP="006E6DC8">
            <w:r w:rsidRPr="00A5447B">
              <w:t>40</w:t>
            </w:r>
          </w:p>
        </w:tc>
      </w:tr>
      <w:tr w:rsidR="00B83890" w:rsidRPr="005904AB" w:rsidTr="006E6DC8">
        <w:tc>
          <w:tcPr>
            <w:tcW w:w="8928" w:type="dxa"/>
            <w:gridSpan w:val="3"/>
          </w:tcPr>
          <w:p w:rsidR="00B83890" w:rsidRPr="00A5447B" w:rsidRDefault="00B83890" w:rsidP="006E6DC8"/>
        </w:tc>
      </w:tr>
      <w:tr w:rsidR="00B83890" w:rsidRPr="00E1167D" w:rsidTr="006E6DC8">
        <w:tc>
          <w:tcPr>
            <w:tcW w:w="8928" w:type="dxa"/>
            <w:gridSpan w:val="3"/>
          </w:tcPr>
          <w:p w:rsidR="00B83890" w:rsidRPr="00E1167D" w:rsidRDefault="00B83890" w:rsidP="006E6DC8">
            <w:pPr>
              <w:rPr>
                <w:b/>
              </w:rPr>
            </w:pPr>
            <w:r w:rsidRPr="00E1167D">
              <w:rPr>
                <w:b/>
              </w:rPr>
              <w:t>Other disclosures in notes to the financial statements</w:t>
            </w:r>
          </w:p>
        </w:tc>
      </w:tr>
      <w:tr w:rsidR="00B83890" w:rsidRPr="005904AB" w:rsidTr="006E6DC8">
        <w:tc>
          <w:tcPr>
            <w:tcW w:w="2088" w:type="dxa"/>
          </w:tcPr>
          <w:p w:rsidR="00B83890" w:rsidRPr="005904AB" w:rsidRDefault="00B83890" w:rsidP="006E6DC8">
            <w:r w:rsidRPr="005904AB">
              <w:t>FRD 9</w:t>
            </w:r>
          </w:p>
        </w:tc>
        <w:tc>
          <w:tcPr>
            <w:tcW w:w="5400" w:type="dxa"/>
          </w:tcPr>
          <w:p w:rsidR="00B83890" w:rsidRPr="00A5447B" w:rsidRDefault="00B83890" w:rsidP="006E6DC8">
            <w:r w:rsidRPr="00A5447B">
              <w:t>Departmental disclosure of administered assets and liabilities</w:t>
            </w:r>
          </w:p>
        </w:tc>
        <w:tc>
          <w:tcPr>
            <w:tcW w:w="1440" w:type="dxa"/>
          </w:tcPr>
          <w:p w:rsidR="00B83890" w:rsidRPr="00A5447B" w:rsidRDefault="00B83890" w:rsidP="006E6DC8">
            <w:r w:rsidRPr="00A5447B">
              <w:t>48–51</w:t>
            </w:r>
          </w:p>
        </w:tc>
      </w:tr>
      <w:tr w:rsidR="00B83890" w:rsidRPr="005904AB" w:rsidTr="006E6DC8">
        <w:tc>
          <w:tcPr>
            <w:tcW w:w="2088" w:type="dxa"/>
          </w:tcPr>
          <w:p w:rsidR="00B83890" w:rsidRPr="005904AB" w:rsidRDefault="00B83890" w:rsidP="006E6DC8">
            <w:r w:rsidRPr="005904AB">
              <w:t>FRD 13</w:t>
            </w:r>
          </w:p>
        </w:tc>
        <w:tc>
          <w:tcPr>
            <w:tcW w:w="5400" w:type="dxa"/>
          </w:tcPr>
          <w:p w:rsidR="00B83890" w:rsidRPr="00A5447B" w:rsidRDefault="00B83890" w:rsidP="006E6DC8">
            <w:r w:rsidRPr="00A5447B">
              <w:t>Disclosure of parliamentary appropriations</w:t>
            </w:r>
          </w:p>
        </w:tc>
        <w:tc>
          <w:tcPr>
            <w:tcW w:w="1440" w:type="dxa"/>
          </w:tcPr>
          <w:p w:rsidR="00B83890" w:rsidRPr="00A5447B" w:rsidRDefault="00B83890" w:rsidP="006E6DC8">
            <w:r w:rsidRPr="00A5447B">
              <w:t>37</w:t>
            </w:r>
          </w:p>
        </w:tc>
      </w:tr>
      <w:tr w:rsidR="00B83890" w:rsidRPr="005904AB" w:rsidTr="006E6DC8">
        <w:tc>
          <w:tcPr>
            <w:tcW w:w="2088" w:type="dxa"/>
          </w:tcPr>
          <w:p w:rsidR="00B83890" w:rsidRPr="0038143B" w:rsidRDefault="00B83890" w:rsidP="006E6DC8">
            <w:r w:rsidRPr="0038143B">
              <w:t>FRD 21</w:t>
            </w:r>
            <w:r>
              <w:t>B</w:t>
            </w:r>
          </w:p>
        </w:tc>
        <w:tc>
          <w:tcPr>
            <w:tcW w:w="5400" w:type="dxa"/>
          </w:tcPr>
          <w:p w:rsidR="00B83890" w:rsidRPr="00A5447B" w:rsidRDefault="00B83890" w:rsidP="006E6DC8">
            <w:r w:rsidRPr="00A5447B">
              <w:t>Responsible person and executive officer disclosures</w:t>
            </w:r>
          </w:p>
        </w:tc>
        <w:tc>
          <w:tcPr>
            <w:tcW w:w="1440" w:type="dxa"/>
          </w:tcPr>
          <w:p w:rsidR="00B83890" w:rsidRPr="00A5447B" w:rsidRDefault="00B83890" w:rsidP="006E6DC8">
            <w:r w:rsidRPr="00A5447B">
              <w:t>56</w:t>
            </w:r>
          </w:p>
        </w:tc>
      </w:tr>
      <w:tr w:rsidR="00B83890" w:rsidRPr="005904AB" w:rsidTr="006E6DC8">
        <w:tc>
          <w:tcPr>
            <w:tcW w:w="2088" w:type="dxa"/>
          </w:tcPr>
          <w:p w:rsidR="00B83890" w:rsidRPr="005904AB" w:rsidRDefault="00B83890" w:rsidP="006E6DC8">
            <w:r w:rsidRPr="005904AB">
              <w:t>FRD 23</w:t>
            </w:r>
          </w:p>
        </w:tc>
        <w:tc>
          <w:tcPr>
            <w:tcW w:w="5400" w:type="dxa"/>
          </w:tcPr>
          <w:p w:rsidR="00B83890" w:rsidRPr="00A5447B" w:rsidRDefault="00B83890" w:rsidP="006E6DC8">
            <w:r w:rsidRPr="00A5447B">
              <w:t>Superannuation liabilities and disclosure</w:t>
            </w:r>
          </w:p>
        </w:tc>
        <w:tc>
          <w:tcPr>
            <w:tcW w:w="1440" w:type="dxa"/>
          </w:tcPr>
          <w:p w:rsidR="00B83890" w:rsidRPr="00A5447B" w:rsidRDefault="00B83890" w:rsidP="006E6DC8">
            <w:r w:rsidRPr="00A5447B">
              <w:t>57</w:t>
            </w:r>
          </w:p>
        </w:tc>
      </w:tr>
      <w:tr w:rsidR="00B83890" w:rsidRPr="005904AB" w:rsidTr="006E6DC8">
        <w:tc>
          <w:tcPr>
            <w:tcW w:w="8928" w:type="dxa"/>
            <w:gridSpan w:val="3"/>
          </w:tcPr>
          <w:p w:rsidR="00B83890" w:rsidRPr="00A5447B" w:rsidRDefault="00B83890" w:rsidP="006E6DC8"/>
        </w:tc>
      </w:tr>
      <w:tr w:rsidR="00B83890" w:rsidRPr="00E1167D" w:rsidTr="006E6DC8">
        <w:tc>
          <w:tcPr>
            <w:tcW w:w="7488" w:type="dxa"/>
            <w:gridSpan w:val="2"/>
          </w:tcPr>
          <w:p w:rsidR="00B83890" w:rsidRPr="00E1167D" w:rsidRDefault="00B83890" w:rsidP="006E6DC8">
            <w:pPr>
              <w:rPr>
                <w:b/>
                <w:i/>
                <w:sz w:val="20"/>
              </w:rPr>
            </w:pPr>
            <w:r w:rsidRPr="00E1167D">
              <w:rPr>
                <w:b/>
              </w:rPr>
              <w:t>Legislation</w:t>
            </w:r>
          </w:p>
        </w:tc>
        <w:tc>
          <w:tcPr>
            <w:tcW w:w="1440" w:type="dxa"/>
          </w:tcPr>
          <w:p w:rsidR="00B83890" w:rsidRPr="00E1167D" w:rsidRDefault="00B83890" w:rsidP="006E6DC8">
            <w:pPr>
              <w:rPr>
                <w:b/>
              </w:rPr>
            </w:pPr>
            <w:r w:rsidRPr="00E1167D">
              <w:rPr>
                <w:b/>
              </w:rPr>
              <w:t>Page</w:t>
            </w:r>
          </w:p>
        </w:tc>
      </w:tr>
      <w:tr w:rsidR="00B83890" w:rsidRPr="005904AB" w:rsidTr="006E6DC8">
        <w:tc>
          <w:tcPr>
            <w:tcW w:w="7488" w:type="dxa"/>
            <w:gridSpan w:val="2"/>
          </w:tcPr>
          <w:p w:rsidR="00B83890" w:rsidRPr="00A5447B" w:rsidRDefault="00B83890" w:rsidP="006E6DC8">
            <w:pPr>
              <w:rPr>
                <w:i/>
              </w:rPr>
            </w:pPr>
            <w:r w:rsidRPr="00A5447B">
              <w:rPr>
                <w:i/>
              </w:rPr>
              <w:t>Freedom of Information Act 1982</w:t>
            </w:r>
          </w:p>
        </w:tc>
        <w:tc>
          <w:tcPr>
            <w:tcW w:w="1440" w:type="dxa"/>
          </w:tcPr>
          <w:p w:rsidR="00B83890" w:rsidRPr="00A5447B" w:rsidRDefault="00B83890" w:rsidP="006E6DC8">
            <w:r w:rsidRPr="00A5447B">
              <w:t>66–67</w:t>
            </w:r>
          </w:p>
        </w:tc>
      </w:tr>
      <w:tr w:rsidR="00B83890" w:rsidRPr="005904AB" w:rsidTr="006E6DC8">
        <w:tc>
          <w:tcPr>
            <w:tcW w:w="7488" w:type="dxa"/>
            <w:gridSpan w:val="2"/>
          </w:tcPr>
          <w:p w:rsidR="00B83890" w:rsidRPr="00A5447B" w:rsidRDefault="00B83890" w:rsidP="006E6DC8">
            <w:pPr>
              <w:rPr>
                <w:i/>
              </w:rPr>
            </w:pPr>
            <w:r w:rsidRPr="00A5447B">
              <w:rPr>
                <w:i/>
              </w:rPr>
              <w:t>Building Act 1993</w:t>
            </w:r>
          </w:p>
        </w:tc>
        <w:tc>
          <w:tcPr>
            <w:tcW w:w="1440" w:type="dxa"/>
          </w:tcPr>
          <w:p w:rsidR="00B83890" w:rsidRPr="00A5447B" w:rsidRDefault="00B83890" w:rsidP="006E6DC8">
            <w:r w:rsidRPr="00A5447B">
              <w:t>70</w:t>
            </w:r>
          </w:p>
        </w:tc>
      </w:tr>
      <w:tr w:rsidR="00B83890" w:rsidRPr="005904AB" w:rsidTr="006E6DC8">
        <w:tc>
          <w:tcPr>
            <w:tcW w:w="7488" w:type="dxa"/>
            <w:gridSpan w:val="2"/>
          </w:tcPr>
          <w:p w:rsidR="00B83890" w:rsidRPr="00A5447B" w:rsidRDefault="00B83890" w:rsidP="006E6DC8">
            <w:pPr>
              <w:rPr>
                <w:i/>
              </w:rPr>
            </w:pPr>
            <w:r w:rsidRPr="00A5447B">
              <w:rPr>
                <w:i/>
              </w:rPr>
              <w:t>Protected Disclosure Act 2012</w:t>
            </w:r>
          </w:p>
        </w:tc>
        <w:tc>
          <w:tcPr>
            <w:tcW w:w="1440" w:type="dxa"/>
          </w:tcPr>
          <w:p w:rsidR="00B83890" w:rsidRPr="00A5447B" w:rsidRDefault="00B83890" w:rsidP="006E6DC8">
            <w:r w:rsidRPr="00A5447B">
              <w:t>71</w:t>
            </w:r>
          </w:p>
        </w:tc>
      </w:tr>
      <w:tr w:rsidR="00B83890" w:rsidRPr="005904AB" w:rsidTr="006E6DC8">
        <w:tc>
          <w:tcPr>
            <w:tcW w:w="7488" w:type="dxa"/>
            <w:gridSpan w:val="2"/>
          </w:tcPr>
          <w:p w:rsidR="00B83890" w:rsidRPr="00A5447B" w:rsidRDefault="00B83890" w:rsidP="006E6DC8">
            <w:pPr>
              <w:rPr>
                <w:i/>
              </w:rPr>
            </w:pPr>
            <w:r w:rsidRPr="00A5447B">
              <w:rPr>
                <w:i/>
              </w:rPr>
              <w:t>Information Privacy Act 2000</w:t>
            </w:r>
          </w:p>
        </w:tc>
        <w:tc>
          <w:tcPr>
            <w:tcW w:w="1440" w:type="dxa"/>
          </w:tcPr>
          <w:p w:rsidR="00B83890" w:rsidRPr="00A5447B" w:rsidRDefault="00B83890" w:rsidP="006E6DC8">
            <w:r w:rsidRPr="00A5447B">
              <w:t>68</w:t>
            </w:r>
          </w:p>
        </w:tc>
      </w:tr>
      <w:tr w:rsidR="00B83890" w:rsidRPr="008D42FC" w:rsidTr="006E6DC8">
        <w:tc>
          <w:tcPr>
            <w:tcW w:w="7488" w:type="dxa"/>
            <w:gridSpan w:val="2"/>
          </w:tcPr>
          <w:p w:rsidR="00B83890" w:rsidRPr="00A5447B" w:rsidRDefault="00B83890" w:rsidP="006E6DC8">
            <w:pPr>
              <w:rPr>
                <w:i/>
              </w:rPr>
            </w:pPr>
            <w:r w:rsidRPr="00A5447B">
              <w:rPr>
                <w:i/>
              </w:rPr>
              <w:t>Disability Act 2006</w:t>
            </w:r>
          </w:p>
        </w:tc>
        <w:tc>
          <w:tcPr>
            <w:tcW w:w="1440" w:type="dxa"/>
          </w:tcPr>
          <w:p w:rsidR="00B83890" w:rsidRPr="00A5447B" w:rsidRDefault="00B83890" w:rsidP="006E6DC8">
            <w:r w:rsidRPr="00A5447B">
              <w:t>69</w:t>
            </w:r>
          </w:p>
        </w:tc>
      </w:tr>
      <w:tr w:rsidR="00B83890" w:rsidRPr="008D42FC" w:rsidTr="006E6DC8">
        <w:tc>
          <w:tcPr>
            <w:tcW w:w="7488" w:type="dxa"/>
            <w:gridSpan w:val="2"/>
          </w:tcPr>
          <w:p w:rsidR="00B83890" w:rsidRPr="00A5447B" w:rsidRDefault="00B83890" w:rsidP="006E6DC8">
            <w:pPr>
              <w:rPr>
                <w:i/>
              </w:rPr>
            </w:pPr>
            <w:r w:rsidRPr="00A5447B">
              <w:rPr>
                <w:i/>
              </w:rPr>
              <w:t>Financial Management Act 1994</w:t>
            </w:r>
          </w:p>
        </w:tc>
        <w:tc>
          <w:tcPr>
            <w:tcW w:w="1440" w:type="dxa"/>
          </w:tcPr>
          <w:p w:rsidR="00B83890" w:rsidRPr="00A5447B" w:rsidRDefault="00B83890" w:rsidP="006E6DC8">
            <w:r w:rsidRPr="00A5447B">
              <w:t>36–65</w:t>
            </w:r>
          </w:p>
        </w:tc>
      </w:tr>
      <w:tr w:rsidR="00B83890" w:rsidRPr="008D42FC" w:rsidTr="006E6DC8">
        <w:tc>
          <w:tcPr>
            <w:tcW w:w="7488" w:type="dxa"/>
            <w:gridSpan w:val="2"/>
          </w:tcPr>
          <w:p w:rsidR="00B83890" w:rsidRPr="00A5447B" w:rsidRDefault="00B83890" w:rsidP="006E6DC8">
            <w:pPr>
              <w:rPr>
                <w:i/>
              </w:rPr>
            </w:pPr>
            <w:r w:rsidRPr="00A5447B">
              <w:rPr>
                <w:i/>
              </w:rPr>
              <w:t>Victorian Industry Participation Policy 2003</w:t>
            </w:r>
          </w:p>
        </w:tc>
        <w:tc>
          <w:tcPr>
            <w:tcW w:w="1440" w:type="dxa"/>
          </w:tcPr>
          <w:p w:rsidR="00B83890" w:rsidRPr="00A5447B" w:rsidRDefault="00B83890" w:rsidP="006E6DC8">
            <w:r w:rsidRPr="00A5447B">
              <w:t>70</w:t>
            </w:r>
          </w:p>
        </w:tc>
      </w:tr>
    </w:tbl>
    <w:p w:rsidR="00B83890" w:rsidRDefault="00B83890" w:rsidP="00B83890"/>
    <w:p w:rsidR="00B83890" w:rsidRDefault="00B83890" w:rsidP="00B83890">
      <w:r>
        <w:br w:type="page"/>
      </w:r>
    </w:p>
    <w:p w:rsidR="00B83890" w:rsidRDefault="00B83890" w:rsidP="00B83890">
      <w:pPr>
        <w:pStyle w:val="Heading2"/>
      </w:pPr>
      <w:r>
        <w:lastRenderedPageBreak/>
        <w:t>Website</w:t>
      </w:r>
    </w:p>
    <w:p w:rsidR="00B83890" w:rsidRDefault="00B83890" w:rsidP="00B83890">
      <w:r>
        <w:t xml:space="preserve">www.museumvictoria.com.au </w:t>
      </w:r>
    </w:p>
    <w:p w:rsidR="00B83890" w:rsidRDefault="00B83890" w:rsidP="00B83890"/>
    <w:p w:rsidR="00B83890" w:rsidRDefault="00B83890" w:rsidP="00B83890">
      <w:pPr>
        <w:pStyle w:val="Heading4"/>
      </w:pPr>
      <w:r>
        <w:t>Museum Victoria</w:t>
      </w:r>
    </w:p>
    <w:p w:rsidR="00B83890" w:rsidRDefault="00B83890" w:rsidP="00B83890">
      <w:r>
        <w:t>GPO Box 666</w:t>
      </w:r>
    </w:p>
    <w:p w:rsidR="00B83890" w:rsidRDefault="00B83890" w:rsidP="00B83890">
      <w:r>
        <w:t>Melbourne 3001</w:t>
      </w:r>
    </w:p>
    <w:p w:rsidR="00B83890" w:rsidRDefault="00B83890" w:rsidP="00B83890">
      <w:r>
        <w:t>Victoria, Australia</w:t>
      </w:r>
    </w:p>
    <w:p w:rsidR="00B83890" w:rsidRDefault="00B83890" w:rsidP="00B83890">
      <w:r>
        <w:t>Telephone: (+61 3) 8341 7777</w:t>
      </w:r>
    </w:p>
    <w:p w:rsidR="00B83890" w:rsidRDefault="00B83890" w:rsidP="00B83890">
      <w:r>
        <w:t>Fax: (+61 3) 8341 7778</w:t>
      </w:r>
    </w:p>
    <w:p w:rsidR="00B83890" w:rsidRDefault="00B83890" w:rsidP="00B83890"/>
    <w:p w:rsidR="00B83890" w:rsidRDefault="00B83890" w:rsidP="00B83890">
      <w:pPr>
        <w:pStyle w:val="Heading4"/>
      </w:pPr>
      <w:r>
        <w:t>Immigration Museum</w:t>
      </w:r>
    </w:p>
    <w:p w:rsidR="00B83890" w:rsidRDefault="00B83890" w:rsidP="00B83890">
      <w:r>
        <w:t>Old Customs House</w:t>
      </w:r>
    </w:p>
    <w:p w:rsidR="00B83890" w:rsidRDefault="00B83890" w:rsidP="00B83890">
      <w:r>
        <w:t>400 Flinders Street</w:t>
      </w:r>
    </w:p>
    <w:p w:rsidR="00B83890" w:rsidRDefault="00B83890" w:rsidP="00B83890">
      <w:r>
        <w:t>Melbourne 3000</w:t>
      </w:r>
    </w:p>
    <w:p w:rsidR="00B83890" w:rsidRDefault="00B83890" w:rsidP="00B83890">
      <w:r>
        <w:t>Victoria, Australia</w:t>
      </w:r>
    </w:p>
    <w:p w:rsidR="00B83890" w:rsidRDefault="00B83890" w:rsidP="00B83890">
      <w:r>
        <w:t>Telephone: (+61 3) 9927 2700</w:t>
      </w:r>
    </w:p>
    <w:p w:rsidR="00B83890" w:rsidRDefault="00B83890" w:rsidP="00B83890">
      <w:r>
        <w:t>Fax: (+61 3) 9927 2728</w:t>
      </w:r>
    </w:p>
    <w:p w:rsidR="00B83890" w:rsidRDefault="00B83890" w:rsidP="00B83890"/>
    <w:p w:rsidR="00B83890" w:rsidRDefault="00B83890" w:rsidP="00B83890">
      <w:pPr>
        <w:pStyle w:val="Heading4"/>
      </w:pPr>
      <w:r>
        <w:t xml:space="preserve">Scienceworks </w:t>
      </w:r>
    </w:p>
    <w:p w:rsidR="00B83890" w:rsidRDefault="00B83890" w:rsidP="00B83890">
      <w:r>
        <w:t>2 Booker Street</w:t>
      </w:r>
    </w:p>
    <w:p w:rsidR="00B83890" w:rsidRDefault="00B83890" w:rsidP="00B83890">
      <w:r>
        <w:t>Spotswood 3015</w:t>
      </w:r>
    </w:p>
    <w:p w:rsidR="00B83890" w:rsidRDefault="00B83890" w:rsidP="00B83890">
      <w:r>
        <w:t>Victoria, Australia</w:t>
      </w:r>
    </w:p>
    <w:p w:rsidR="00B83890" w:rsidRDefault="00B83890" w:rsidP="00B83890">
      <w:r>
        <w:t>Telephone: (+61 3) 9392 4800</w:t>
      </w:r>
    </w:p>
    <w:p w:rsidR="00B83890" w:rsidRDefault="00B83890" w:rsidP="00B83890">
      <w:r>
        <w:t>Fax: (+61 3) 9391 0100</w:t>
      </w:r>
    </w:p>
    <w:p w:rsidR="00B83890" w:rsidRDefault="00B83890" w:rsidP="00B83890"/>
    <w:p w:rsidR="00B83890" w:rsidRDefault="00B83890" w:rsidP="00B83890">
      <w:pPr>
        <w:pStyle w:val="Heading4"/>
      </w:pPr>
      <w:r>
        <w:t>Melbourne Museum</w:t>
      </w:r>
    </w:p>
    <w:p w:rsidR="00B83890" w:rsidRDefault="00B83890" w:rsidP="00B83890">
      <w:r>
        <w:t>11 Nicholson Street</w:t>
      </w:r>
    </w:p>
    <w:p w:rsidR="00B83890" w:rsidRDefault="00B83890" w:rsidP="00B83890">
      <w:r>
        <w:t>Carlton 3053</w:t>
      </w:r>
    </w:p>
    <w:p w:rsidR="00B83890" w:rsidRDefault="00B83890" w:rsidP="00B83890">
      <w:r>
        <w:t>Victoria, Australia</w:t>
      </w:r>
    </w:p>
    <w:p w:rsidR="00B83890" w:rsidRDefault="00B83890" w:rsidP="00B83890">
      <w:r>
        <w:t>Telephone: (+61 3) 8341 7777</w:t>
      </w:r>
    </w:p>
    <w:p w:rsidR="00B83890" w:rsidRDefault="00B83890" w:rsidP="00B83890">
      <w:r>
        <w:t>Fax: (+61 3) 8341 7778</w:t>
      </w:r>
    </w:p>
    <w:p w:rsidR="00B83890" w:rsidRDefault="00B83890" w:rsidP="00B83890"/>
    <w:p w:rsidR="00B83890" w:rsidRDefault="00B83890" w:rsidP="00B83890">
      <w:r>
        <w:t>ISSN 1835-3681</w:t>
      </w:r>
    </w:p>
    <w:p w:rsidR="00B83890" w:rsidRDefault="00B83890" w:rsidP="00B83890"/>
    <w:p w:rsidR="00B83890" w:rsidRDefault="00B83890" w:rsidP="00B83890">
      <w:r>
        <w:t>Environmental statement</w:t>
      </w:r>
    </w:p>
    <w:p w:rsidR="00B83890" w:rsidRDefault="00B83890" w:rsidP="00B83890"/>
    <w:p w:rsidR="00B83890" w:rsidRPr="00A601D9" w:rsidRDefault="00B83890" w:rsidP="00B83890">
      <w:r w:rsidRPr="00A601D9">
        <w:t>Logos:</w:t>
      </w:r>
    </w:p>
    <w:p w:rsidR="00B83890" w:rsidRPr="00A601D9" w:rsidRDefault="00B83890" w:rsidP="00B83890">
      <w:r w:rsidRPr="00A601D9">
        <w:t>MV</w:t>
      </w:r>
    </w:p>
    <w:p w:rsidR="00B83890" w:rsidRDefault="00B83890" w:rsidP="00B83890">
      <w:r w:rsidRPr="00A601D9">
        <w:t>Vic Government</w:t>
      </w:r>
    </w:p>
    <w:p w:rsidR="00C14C5D" w:rsidRDefault="00C14C5D"/>
    <w:p w:rsidR="00C14C5D" w:rsidRDefault="00C14C5D" w:rsidP="00C14C5D">
      <w:bookmarkStart w:id="15" w:name="_GoBack"/>
      <w:bookmarkEnd w:id="15"/>
    </w:p>
    <w:sectPr w:rsidR="00C14C5D" w:rsidSect="006E6DC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A18" w:rsidRDefault="00D74A18">
      <w:r>
        <w:separator/>
      </w:r>
    </w:p>
  </w:endnote>
  <w:endnote w:type="continuationSeparator" w:id="0">
    <w:p w:rsidR="00D74A18" w:rsidRDefault="00D7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TimesNewRomanPSMT">
    <w:panose1 w:val="00000000000000000000"/>
    <w:charset w:val="00"/>
    <w:family w:val="roman"/>
    <w:notTrueType/>
    <w:pitch w:val="default"/>
    <w:sig w:usb0="00000003" w:usb1="00000000" w:usb2="00000000" w:usb3="00000000" w:csb0="00000001" w:csb1="00000000"/>
  </w:font>
  <w:font w:name="Univers 45 Light">
    <w:panose1 w:val="00000000000000000000"/>
    <w:charset w:val="00"/>
    <w:family w:val="roman"/>
    <w:notTrueType/>
    <w:pitch w:val="default"/>
  </w:font>
  <w:font w:name="Univers 55">
    <w:panose1 w:val="00000000000000000000"/>
    <w:charset w:val="00"/>
    <w:family w:val="swiss"/>
    <w:notTrueType/>
    <w:pitch w:val="variable"/>
    <w:sig w:usb0="00000003" w:usb1="00000000" w:usb2="00000000" w:usb3="00000000" w:csb0="00000001" w:csb1="00000000"/>
  </w:font>
  <w:font w:name="DINOT-Regular">
    <w:altName w:val="DINOT-Regular"/>
    <w:panose1 w:val="00000000000000000000"/>
    <w:charset w:val="00"/>
    <w:family w:val="swiss"/>
    <w:notTrueType/>
    <w:pitch w:val="default"/>
    <w:sig w:usb0="00000003" w:usb1="00000000" w:usb2="0000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3712"/>
      <w:docPartObj>
        <w:docPartGallery w:val="Page Numbers (Bottom of Page)"/>
        <w:docPartUnique/>
      </w:docPartObj>
    </w:sdtPr>
    <w:sdtEndPr/>
    <w:sdtContent>
      <w:p w:rsidR="00D74A18" w:rsidRDefault="00D74A18">
        <w:pPr>
          <w:pStyle w:val="Footer"/>
          <w:jc w:val="right"/>
        </w:pPr>
        <w:r>
          <w:fldChar w:fldCharType="begin"/>
        </w:r>
        <w:r>
          <w:instrText xml:space="preserve"> PAGE   \* MERGEFORMAT </w:instrText>
        </w:r>
        <w:r>
          <w:fldChar w:fldCharType="separate"/>
        </w:r>
        <w:r w:rsidR="00700744">
          <w:rPr>
            <w:noProof/>
          </w:rPr>
          <w:t>7</w:t>
        </w:r>
        <w:r>
          <w:rPr>
            <w:noProof/>
          </w:rPr>
          <w:fldChar w:fldCharType="end"/>
        </w:r>
      </w:p>
    </w:sdtContent>
  </w:sdt>
  <w:p w:rsidR="00D74A18" w:rsidRDefault="00D74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A18" w:rsidRPr="004F3F93" w:rsidRDefault="00D74A18" w:rsidP="006E6DC8">
    <w:pPr>
      <w:pStyle w:val="Footer"/>
      <w:tabs>
        <w:tab w:val="clear" w:pos="8306"/>
        <w:tab w:val="right" w:pos="8931"/>
      </w:tabs>
    </w:pPr>
    <w:r>
      <w:tab/>
    </w:r>
    <w:r>
      <w:tab/>
    </w:r>
    <w:r w:rsidRPr="004F3F93">
      <w:rPr>
        <w:rStyle w:val="PageNumber"/>
        <w:rFonts w:cs="Arial"/>
        <w:sz w:val="20"/>
      </w:rPr>
      <w:fldChar w:fldCharType="begin"/>
    </w:r>
    <w:r w:rsidRPr="004F3F93">
      <w:rPr>
        <w:rStyle w:val="PageNumber"/>
        <w:rFonts w:cs="Arial"/>
        <w:sz w:val="20"/>
      </w:rPr>
      <w:instrText xml:space="preserve"> PAGE </w:instrText>
    </w:r>
    <w:r w:rsidRPr="004F3F93">
      <w:rPr>
        <w:rStyle w:val="PageNumber"/>
        <w:rFonts w:cs="Arial"/>
        <w:sz w:val="20"/>
      </w:rPr>
      <w:fldChar w:fldCharType="separate"/>
    </w:r>
    <w:r w:rsidR="00700744">
      <w:rPr>
        <w:rStyle w:val="PageNumber"/>
        <w:rFonts w:cs="Arial"/>
        <w:noProof/>
        <w:sz w:val="20"/>
      </w:rPr>
      <w:t>76</w:t>
    </w:r>
    <w:r w:rsidRPr="004F3F93">
      <w:rPr>
        <w:rStyle w:val="PageNumber"/>
        <w:rFonts w:cs="Arial"/>
        <w:sz w:val="20"/>
      </w:rPr>
      <w:fldChar w:fldCharType="end"/>
    </w:r>
  </w:p>
  <w:p w:rsidR="00D74A18" w:rsidRDefault="00D74A18" w:rsidP="006E6D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A18" w:rsidRDefault="00D74A18">
      <w:r>
        <w:separator/>
      </w:r>
    </w:p>
  </w:footnote>
  <w:footnote w:type="continuationSeparator" w:id="0">
    <w:p w:rsidR="00D74A18" w:rsidRDefault="00D74A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014CF"/>
    <w:multiLevelType w:val="hybridMultilevel"/>
    <w:tmpl w:val="E1F4E5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4E39E2"/>
    <w:multiLevelType w:val="hybridMultilevel"/>
    <w:tmpl w:val="9246F0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9F0913"/>
    <w:multiLevelType w:val="hybridMultilevel"/>
    <w:tmpl w:val="BAD27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28186A"/>
    <w:multiLevelType w:val="hybridMultilevel"/>
    <w:tmpl w:val="B0008186"/>
    <w:lvl w:ilvl="0" w:tplc="41E690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D77CA3"/>
    <w:multiLevelType w:val="hybridMultilevel"/>
    <w:tmpl w:val="8E12EB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E895E94"/>
    <w:multiLevelType w:val="hybridMultilevel"/>
    <w:tmpl w:val="4DCE44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3623AF"/>
    <w:multiLevelType w:val="hybridMultilevel"/>
    <w:tmpl w:val="4CBE9E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B302BA6"/>
    <w:multiLevelType w:val="hybridMultilevel"/>
    <w:tmpl w:val="98D47E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D7A0E53"/>
    <w:multiLevelType w:val="hybridMultilevel"/>
    <w:tmpl w:val="57F836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0B74F26"/>
    <w:multiLevelType w:val="hybridMultilevel"/>
    <w:tmpl w:val="00E6E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0A67F9"/>
    <w:multiLevelType w:val="hybridMultilevel"/>
    <w:tmpl w:val="C1904D48"/>
    <w:lvl w:ilvl="0" w:tplc="9398DACE">
      <w:start w:val="1"/>
      <w:numFmt w:val="bullet"/>
      <w:pStyle w:val="bullet-greyblob"/>
      <w:lvlText w:val=""/>
      <w:lvlJc w:val="left"/>
      <w:pPr>
        <w:tabs>
          <w:tab w:val="num" w:pos="7088"/>
        </w:tabs>
        <w:ind w:left="7088" w:hanging="284"/>
      </w:pPr>
      <w:rPr>
        <w:rFonts w:ascii="Symbol" w:hAnsi="Symbol" w:hint="default"/>
        <w:caps w:val="0"/>
        <w:strike w:val="0"/>
        <w:dstrike w:val="0"/>
        <w:outline w:val="0"/>
        <w:shadow w:val="0"/>
        <w:emboss w:val="0"/>
        <w:imprint w:val="0"/>
        <w:vanish w:val="0"/>
        <w:color w:val="808080"/>
        <w:vertAlign w:val="baseline"/>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DD7934"/>
    <w:multiLevelType w:val="hybridMultilevel"/>
    <w:tmpl w:val="3BA0B9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9CE7683"/>
    <w:multiLevelType w:val="hybridMultilevel"/>
    <w:tmpl w:val="BB02CAB2"/>
    <w:lvl w:ilvl="0" w:tplc="14AA06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DA3D4B"/>
    <w:multiLevelType w:val="hybridMultilevel"/>
    <w:tmpl w:val="F36869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1C02D7"/>
    <w:multiLevelType w:val="hybridMultilevel"/>
    <w:tmpl w:val="1F9291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93D1EB1"/>
    <w:multiLevelType w:val="hybridMultilevel"/>
    <w:tmpl w:val="ED3A6134"/>
    <w:lvl w:ilvl="0" w:tplc="932C9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904104"/>
    <w:multiLevelType w:val="hybridMultilevel"/>
    <w:tmpl w:val="16AAC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3851545"/>
    <w:multiLevelType w:val="hybridMultilevel"/>
    <w:tmpl w:val="5096FA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6474299"/>
    <w:multiLevelType w:val="hybridMultilevel"/>
    <w:tmpl w:val="114E1FB2"/>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B287005"/>
    <w:multiLevelType w:val="hybridMultilevel"/>
    <w:tmpl w:val="93B4C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BB3B09"/>
    <w:multiLevelType w:val="hybridMultilevel"/>
    <w:tmpl w:val="0E320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C557541"/>
    <w:multiLevelType w:val="hybridMultilevel"/>
    <w:tmpl w:val="04C2C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987CF0"/>
    <w:multiLevelType w:val="hybridMultilevel"/>
    <w:tmpl w:val="2CE4AB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E1E01F4"/>
    <w:multiLevelType w:val="hybridMultilevel"/>
    <w:tmpl w:val="25886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0852220"/>
    <w:multiLevelType w:val="hybridMultilevel"/>
    <w:tmpl w:val="C19030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9A37BF"/>
    <w:multiLevelType w:val="hybridMultilevel"/>
    <w:tmpl w:val="7AC8D0DA"/>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6F760FE"/>
    <w:multiLevelType w:val="hybridMultilevel"/>
    <w:tmpl w:val="9B5E0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7062A85"/>
    <w:multiLevelType w:val="hybridMultilevel"/>
    <w:tmpl w:val="CFDE0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9D30888"/>
    <w:multiLevelType w:val="hybridMultilevel"/>
    <w:tmpl w:val="10D2A7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157605A"/>
    <w:multiLevelType w:val="hybridMultilevel"/>
    <w:tmpl w:val="9D9C0C98"/>
    <w:lvl w:ilvl="0" w:tplc="4B520F2E">
      <w:start w:val="3"/>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73137A6A"/>
    <w:multiLevelType w:val="hybridMultilevel"/>
    <w:tmpl w:val="FB2A38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5F4741F"/>
    <w:multiLevelType w:val="hybridMultilevel"/>
    <w:tmpl w:val="0F4AD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7"/>
  </w:num>
  <w:num w:numId="4">
    <w:abstractNumId w:val="28"/>
  </w:num>
  <w:num w:numId="5">
    <w:abstractNumId w:val="2"/>
  </w:num>
  <w:num w:numId="6">
    <w:abstractNumId w:val="30"/>
  </w:num>
  <w:num w:numId="7">
    <w:abstractNumId w:val="11"/>
  </w:num>
  <w:num w:numId="8">
    <w:abstractNumId w:val="23"/>
  </w:num>
  <w:num w:numId="9">
    <w:abstractNumId w:val="26"/>
  </w:num>
  <w:num w:numId="10">
    <w:abstractNumId w:val="0"/>
  </w:num>
  <w:num w:numId="11">
    <w:abstractNumId w:val="14"/>
  </w:num>
  <w:num w:numId="12">
    <w:abstractNumId w:val="9"/>
  </w:num>
  <w:num w:numId="13">
    <w:abstractNumId w:val="27"/>
  </w:num>
  <w:num w:numId="14">
    <w:abstractNumId w:val="16"/>
  </w:num>
  <w:num w:numId="15">
    <w:abstractNumId w:val="4"/>
  </w:num>
  <w:num w:numId="16">
    <w:abstractNumId w:val="22"/>
  </w:num>
  <w:num w:numId="17">
    <w:abstractNumId w:val="5"/>
  </w:num>
  <w:num w:numId="18">
    <w:abstractNumId w:val="10"/>
  </w:num>
  <w:num w:numId="19">
    <w:abstractNumId w:val="24"/>
  </w:num>
  <w:num w:numId="20">
    <w:abstractNumId w:val="1"/>
  </w:num>
  <w:num w:numId="21">
    <w:abstractNumId w:val="6"/>
  </w:num>
  <w:num w:numId="22">
    <w:abstractNumId w:val="19"/>
  </w:num>
  <w:num w:numId="23">
    <w:abstractNumId w:val="8"/>
  </w:num>
  <w:num w:numId="24">
    <w:abstractNumId w:val="18"/>
  </w:num>
  <w:num w:numId="25">
    <w:abstractNumId w:val="25"/>
  </w:num>
  <w:num w:numId="26">
    <w:abstractNumId w:val="29"/>
  </w:num>
  <w:num w:numId="27">
    <w:abstractNumId w:val="21"/>
  </w:num>
  <w:num w:numId="28">
    <w:abstractNumId w:val="31"/>
  </w:num>
  <w:num w:numId="29">
    <w:abstractNumId w:val="13"/>
  </w:num>
  <w:num w:numId="30">
    <w:abstractNumId w:val="15"/>
  </w:num>
  <w:num w:numId="31">
    <w:abstractNumId w:val="3"/>
  </w:num>
  <w:num w:numId="32">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jQxB2IzcwNTCyNzMyUdpeDU4uLM/DyQAqNaAB3753MsAAAA"/>
  </w:docVars>
  <w:rsids>
    <w:rsidRoot w:val="00B83890"/>
    <w:rsid w:val="000774C5"/>
    <w:rsid w:val="000A7F62"/>
    <w:rsid w:val="001442F3"/>
    <w:rsid w:val="002112B1"/>
    <w:rsid w:val="00222E60"/>
    <w:rsid w:val="00277FF8"/>
    <w:rsid w:val="002F6ECA"/>
    <w:rsid w:val="004B1BAA"/>
    <w:rsid w:val="00513943"/>
    <w:rsid w:val="00521470"/>
    <w:rsid w:val="006E6DC8"/>
    <w:rsid w:val="00700744"/>
    <w:rsid w:val="00751664"/>
    <w:rsid w:val="00751B3E"/>
    <w:rsid w:val="008F2148"/>
    <w:rsid w:val="0093396F"/>
    <w:rsid w:val="00994BAF"/>
    <w:rsid w:val="0099724A"/>
    <w:rsid w:val="009C0D27"/>
    <w:rsid w:val="009C1080"/>
    <w:rsid w:val="00A5447B"/>
    <w:rsid w:val="00B83890"/>
    <w:rsid w:val="00BB0712"/>
    <w:rsid w:val="00C14C5D"/>
    <w:rsid w:val="00C245B5"/>
    <w:rsid w:val="00C427A6"/>
    <w:rsid w:val="00D74A18"/>
    <w:rsid w:val="00E1167D"/>
    <w:rsid w:val="00E50701"/>
    <w:rsid w:val="00F86D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6C68E3-78FB-41E2-9C08-112EBD19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890"/>
    <w:pPr>
      <w:keepNext/>
      <w:spacing w:after="0" w:line="240" w:lineRule="auto"/>
      <w:outlineLvl w:val="0"/>
    </w:pPr>
    <w:rPr>
      <w:rFonts w:ascii="Arial" w:eastAsia="Times New Roman" w:hAnsi="Arial" w:cs="Times New Roman"/>
      <w:lang w:eastAsia="en-AU"/>
    </w:rPr>
  </w:style>
  <w:style w:type="paragraph" w:styleId="Heading1">
    <w:name w:val="heading 1"/>
    <w:basedOn w:val="Normal"/>
    <w:next w:val="Normal"/>
    <w:link w:val="Heading1Char"/>
    <w:qFormat/>
    <w:rsid w:val="00B83890"/>
    <w:rPr>
      <w:b/>
      <w:sz w:val="40"/>
    </w:rPr>
  </w:style>
  <w:style w:type="paragraph" w:styleId="Heading2">
    <w:name w:val="heading 2"/>
    <w:basedOn w:val="Normal"/>
    <w:next w:val="Normal"/>
    <w:link w:val="Heading2Char"/>
    <w:qFormat/>
    <w:rsid w:val="00B83890"/>
    <w:pPr>
      <w:outlineLvl w:val="1"/>
    </w:pPr>
    <w:rPr>
      <w:b/>
      <w:sz w:val="32"/>
      <w:szCs w:val="32"/>
    </w:rPr>
  </w:style>
  <w:style w:type="paragraph" w:styleId="Heading3">
    <w:name w:val="heading 3"/>
    <w:basedOn w:val="Normal"/>
    <w:next w:val="Normal"/>
    <w:link w:val="Heading3Char"/>
    <w:qFormat/>
    <w:rsid w:val="00B83890"/>
    <w:pPr>
      <w:outlineLvl w:val="2"/>
    </w:pPr>
    <w:rPr>
      <w:rFonts w:cs="Arial"/>
      <w:b/>
      <w:sz w:val="24"/>
      <w:szCs w:val="24"/>
    </w:rPr>
  </w:style>
  <w:style w:type="paragraph" w:styleId="Heading4">
    <w:name w:val="heading 4"/>
    <w:basedOn w:val="Normal"/>
    <w:next w:val="Normal"/>
    <w:link w:val="Heading4Char"/>
    <w:uiPriority w:val="9"/>
    <w:qFormat/>
    <w:rsid w:val="00B83890"/>
    <w:pPr>
      <w:outlineLvl w:val="3"/>
    </w:pPr>
    <w:rPr>
      <w:b/>
    </w:rPr>
  </w:style>
  <w:style w:type="paragraph" w:styleId="Heading5">
    <w:name w:val="heading 5"/>
    <w:basedOn w:val="Normal"/>
    <w:next w:val="Normal"/>
    <w:link w:val="Heading5Char"/>
    <w:qFormat/>
    <w:rsid w:val="001442F3"/>
    <w:pPr>
      <w:keepLines/>
      <w:spacing w:before="200"/>
      <w:outlineLvl w:val="4"/>
    </w:pPr>
    <w:rPr>
      <w:rFonts w:eastAsiaTheme="majorEastAsia" w:cstheme="majorBidi"/>
      <w:b/>
    </w:rPr>
  </w:style>
  <w:style w:type="paragraph" w:styleId="Heading6">
    <w:name w:val="heading 6"/>
    <w:basedOn w:val="Normal"/>
    <w:next w:val="Normal"/>
    <w:link w:val="Heading6Char"/>
    <w:qFormat/>
    <w:rsid w:val="00B83890"/>
    <w:pPr>
      <w:outlineLvl w:val="5"/>
    </w:pPr>
    <w:rPr>
      <w:rFonts w:ascii="Times New Roman" w:hAnsi="Times New Roman"/>
      <w:i/>
      <w:sz w:val="20"/>
      <w:szCs w:val="20"/>
    </w:rPr>
  </w:style>
  <w:style w:type="paragraph" w:styleId="Heading7">
    <w:name w:val="heading 7"/>
    <w:basedOn w:val="Normal"/>
    <w:next w:val="Normal"/>
    <w:link w:val="Heading7Char"/>
    <w:qFormat/>
    <w:rsid w:val="00B83890"/>
    <w:pPr>
      <w:spacing w:before="240" w:after="60"/>
      <w:outlineLvl w:val="6"/>
    </w:pPr>
    <w:rPr>
      <w:szCs w:val="24"/>
    </w:rPr>
  </w:style>
  <w:style w:type="paragraph" w:styleId="Heading8">
    <w:name w:val="heading 8"/>
    <w:basedOn w:val="Normal"/>
    <w:next w:val="Normal"/>
    <w:link w:val="Heading8Char"/>
    <w:uiPriority w:val="99"/>
    <w:qFormat/>
    <w:rsid w:val="00B83890"/>
    <w:pPr>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B83890"/>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3890"/>
    <w:rPr>
      <w:rFonts w:ascii="Arial" w:eastAsia="Times New Roman" w:hAnsi="Arial" w:cs="Times New Roman"/>
      <w:b/>
      <w:sz w:val="40"/>
      <w:lang w:eastAsia="en-AU"/>
    </w:rPr>
  </w:style>
  <w:style w:type="character" w:customStyle="1" w:styleId="Heading2Char">
    <w:name w:val="Heading 2 Char"/>
    <w:basedOn w:val="DefaultParagraphFont"/>
    <w:link w:val="Heading2"/>
    <w:rsid w:val="00B83890"/>
    <w:rPr>
      <w:rFonts w:ascii="Arial" w:eastAsia="Times New Roman" w:hAnsi="Arial" w:cs="Times New Roman"/>
      <w:b/>
      <w:sz w:val="32"/>
      <w:szCs w:val="32"/>
      <w:lang w:eastAsia="en-AU"/>
    </w:rPr>
  </w:style>
  <w:style w:type="character" w:customStyle="1" w:styleId="Heading3Char">
    <w:name w:val="Heading 3 Char"/>
    <w:basedOn w:val="DefaultParagraphFont"/>
    <w:link w:val="Heading3"/>
    <w:rsid w:val="00B83890"/>
    <w:rPr>
      <w:rFonts w:ascii="Arial" w:eastAsia="Times New Roman" w:hAnsi="Arial" w:cs="Arial"/>
      <w:b/>
      <w:sz w:val="24"/>
      <w:szCs w:val="24"/>
      <w:lang w:eastAsia="en-AU"/>
    </w:rPr>
  </w:style>
  <w:style w:type="character" w:customStyle="1" w:styleId="Heading4Char">
    <w:name w:val="Heading 4 Char"/>
    <w:basedOn w:val="DefaultParagraphFont"/>
    <w:link w:val="Heading4"/>
    <w:uiPriority w:val="9"/>
    <w:rsid w:val="00B83890"/>
    <w:rPr>
      <w:rFonts w:ascii="Arial" w:eastAsia="Times New Roman" w:hAnsi="Arial" w:cs="Times New Roman"/>
      <w:b/>
      <w:lang w:eastAsia="en-AU"/>
    </w:rPr>
  </w:style>
  <w:style w:type="character" w:customStyle="1" w:styleId="Heading5Char">
    <w:name w:val="Heading 5 Char"/>
    <w:basedOn w:val="DefaultParagraphFont"/>
    <w:link w:val="Heading5"/>
    <w:rsid w:val="001442F3"/>
    <w:rPr>
      <w:rFonts w:ascii="Arial" w:eastAsiaTheme="majorEastAsia" w:hAnsi="Arial" w:cstheme="majorBidi"/>
      <w:b/>
      <w:lang w:eastAsia="en-AU"/>
    </w:rPr>
  </w:style>
  <w:style w:type="character" w:customStyle="1" w:styleId="Heading6Char">
    <w:name w:val="Heading 6 Char"/>
    <w:basedOn w:val="DefaultParagraphFont"/>
    <w:link w:val="Heading6"/>
    <w:uiPriority w:val="99"/>
    <w:rsid w:val="00B83890"/>
    <w:rPr>
      <w:rFonts w:ascii="Times New Roman" w:eastAsia="Times New Roman" w:hAnsi="Times New Roman" w:cs="Times New Roman"/>
      <w:i/>
      <w:sz w:val="20"/>
      <w:szCs w:val="20"/>
      <w:lang w:eastAsia="en-AU"/>
    </w:rPr>
  </w:style>
  <w:style w:type="character" w:customStyle="1" w:styleId="Heading7Char">
    <w:name w:val="Heading 7 Char"/>
    <w:basedOn w:val="DefaultParagraphFont"/>
    <w:link w:val="Heading7"/>
    <w:uiPriority w:val="99"/>
    <w:rsid w:val="00B83890"/>
    <w:rPr>
      <w:rFonts w:ascii="Arial" w:eastAsia="Times New Roman" w:hAnsi="Arial" w:cs="Times New Roman"/>
      <w:szCs w:val="24"/>
      <w:lang w:eastAsia="en-AU"/>
    </w:rPr>
  </w:style>
  <w:style w:type="character" w:customStyle="1" w:styleId="Heading8Char">
    <w:name w:val="Heading 8 Char"/>
    <w:basedOn w:val="DefaultParagraphFont"/>
    <w:link w:val="Heading8"/>
    <w:uiPriority w:val="99"/>
    <w:rsid w:val="00B83890"/>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link w:val="Heading9"/>
    <w:uiPriority w:val="99"/>
    <w:rsid w:val="00B83890"/>
    <w:rPr>
      <w:rFonts w:ascii="Arial" w:eastAsia="Times New Roman" w:hAnsi="Arial" w:cs="Arial"/>
      <w:lang w:eastAsia="en-AU"/>
    </w:rPr>
  </w:style>
  <w:style w:type="paragraph" w:styleId="TOCHeading">
    <w:name w:val="TOC Heading"/>
    <w:basedOn w:val="Heading1"/>
    <w:next w:val="Normal"/>
    <w:uiPriority w:val="39"/>
    <w:semiHidden/>
    <w:unhideWhenUsed/>
    <w:qFormat/>
    <w:rsid w:val="00B83890"/>
    <w:pPr>
      <w:keepLines/>
      <w:spacing w:before="480" w:line="276" w:lineRule="auto"/>
      <w:outlineLvl w:val="9"/>
    </w:pPr>
    <w:rPr>
      <w:rFonts w:ascii="Cambria" w:hAnsi="Cambria"/>
      <w:bCs/>
      <w:color w:val="365F91"/>
      <w:sz w:val="28"/>
      <w:szCs w:val="28"/>
      <w:lang w:val="en-US" w:eastAsia="en-US"/>
    </w:rPr>
  </w:style>
  <w:style w:type="character" w:styleId="Hyperlink">
    <w:name w:val="Hyperlink"/>
    <w:basedOn w:val="DefaultParagraphFont"/>
    <w:uiPriority w:val="99"/>
    <w:unhideWhenUsed/>
    <w:rsid w:val="00B83890"/>
    <w:rPr>
      <w:color w:val="0000FF" w:themeColor="hyperlink"/>
      <w:u w:val="single"/>
    </w:rPr>
  </w:style>
  <w:style w:type="paragraph" w:styleId="BodyText">
    <w:name w:val="Body Text"/>
    <w:basedOn w:val="Normal"/>
    <w:link w:val="BodyTextChar"/>
    <w:rsid w:val="00B83890"/>
  </w:style>
  <w:style w:type="character" w:customStyle="1" w:styleId="BodyTextChar">
    <w:name w:val="Body Text Char"/>
    <w:basedOn w:val="DefaultParagraphFont"/>
    <w:link w:val="BodyText"/>
    <w:uiPriority w:val="99"/>
    <w:rsid w:val="00B83890"/>
    <w:rPr>
      <w:rFonts w:ascii="Arial" w:eastAsia="Times New Roman" w:hAnsi="Arial" w:cs="Times New Roman"/>
      <w:lang w:eastAsia="en-AU"/>
    </w:rPr>
  </w:style>
  <w:style w:type="paragraph" w:customStyle="1" w:styleId="Datetitles">
    <w:name w:val="Date titles"/>
    <w:basedOn w:val="Heading7"/>
    <w:next w:val="Normal"/>
    <w:rsid w:val="00B83890"/>
    <w:pPr>
      <w:spacing w:before="0" w:after="0" w:line="360" w:lineRule="auto"/>
    </w:pPr>
    <w:rPr>
      <w:szCs w:val="20"/>
    </w:rPr>
  </w:style>
  <w:style w:type="paragraph" w:styleId="Footer">
    <w:name w:val="footer"/>
    <w:basedOn w:val="Normal"/>
    <w:link w:val="FooterChar"/>
    <w:rsid w:val="00B83890"/>
    <w:pPr>
      <w:tabs>
        <w:tab w:val="center" w:pos="4153"/>
        <w:tab w:val="right" w:pos="8306"/>
      </w:tabs>
    </w:pPr>
  </w:style>
  <w:style w:type="character" w:customStyle="1" w:styleId="FooterChar">
    <w:name w:val="Footer Char"/>
    <w:basedOn w:val="DefaultParagraphFont"/>
    <w:link w:val="Footer"/>
    <w:uiPriority w:val="99"/>
    <w:rsid w:val="00B83890"/>
    <w:rPr>
      <w:rFonts w:ascii="Arial" w:eastAsia="Times New Roman" w:hAnsi="Arial" w:cs="Times New Roman"/>
      <w:lang w:eastAsia="en-AU"/>
    </w:rPr>
  </w:style>
  <w:style w:type="character" w:styleId="PageNumber">
    <w:name w:val="page number"/>
    <w:basedOn w:val="DefaultParagraphFont"/>
    <w:rsid w:val="00B83890"/>
  </w:style>
  <w:style w:type="paragraph" w:styleId="NormalWeb">
    <w:name w:val="Normal (Web)"/>
    <w:basedOn w:val="Normal"/>
    <w:uiPriority w:val="99"/>
    <w:rsid w:val="00B83890"/>
    <w:pPr>
      <w:spacing w:before="100" w:beforeAutospacing="1" w:after="100" w:afterAutospacing="1"/>
    </w:pPr>
    <w:rPr>
      <w:rFonts w:ascii="Verdana" w:hAnsi="Verdana"/>
      <w:szCs w:val="24"/>
    </w:rPr>
  </w:style>
  <w:style w:type="paragraph" w:styleId="Subtitle">
    <w:name w:val="Subtitle"/>
    <w:basedOn w:val="Normal"/>
    <w:next w:val="Normal"/>
    <w:link w:val="SubtitleChar"/>
    <w:uiPriority w:val="11"/>
    <w:qFormat/>
    <w:rsid w:val="00B8389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B83890"/>
    <w:rPr>
      <w:rFonts w:asciiTheme="majorHAnsi" w:eastAsiaTheme="majorEastAsia" w:hAnsiTheme="majorHAnsi" w:cstheme="majorBidi"/>
      <w:i/>
      <w:iCs/>
      <w:color w:val="4F81BD" w:themeColor="accent1"/>
      <w:spacing w:val="15"/>
      <w:szCs w:val="24"/>
      <w:lang w:eastAsia="en-AU"/>
    </w:rPr>
  </w:style>
  <w:style w:type="paragraph" w:styleId="BodyTextIndent">
    <w:name w:val="Body Text Indent"/>
    <w:basedOn w:val="Normal"/>
    <w:link w:val="BodyTextIndentChar"/>
    <w:unhideWhenUsed/>
    <w:rsid w:val="00B83890"/>
    <w:pPr>
      <w:spacing w:after="120"/>
      <w:ind w:left="283"/>
    </w:pPr>
    <w:rPr>
      <w:szCs w:val="24"/>
    </w:rPr>
  </w:style>
  <w:style w:type="character" w:customStyle="1" w:styleId="BodyTextIndentChar">
    <w:name w:val="Body Text Indent Char"/>
    <w:basedOn w:val="DefaultParagraphFont"/>
    <w:link w:val="BodyTextIndent"/>
    <w:uiPriority w:val="99"/>
    <w:rsid w:val="00B83890"/>
    <w:rPr>
      <w:rFonts w:ascii="Arial" w:eastAsia="Times New Roman" w:hAnsi="Arial" w:cs="Times New Roman"/>
      <w:szCs w:val="24"/>
      <w:lang w:eastAsia="en-AU"/>
    </w:rPr>
  </w:style>
  <w:style w:type="paragraph" w:styleId="BalloonText">
    <w:name w:val="Balloon Text"/>
    <w:basedOn w:val="Normal"/>
    <w:link w:val="BalloonTextChar"/>
    <w:semiHidden/>
    <w:unhideWhenUsed/>
    <w:rsid w:val="00B83890"/>
    <w:rPr>
      <w:rFonts w:ascii="Tahoma" w:hAnsi="Tahoma" w:cs="Tahoma"/>
      <w:sz w:val="16"/>
      <w:szCs w:val="16"/>
    </w:rPr>
  </w:style>
  <w:style w:type="character" w:customStyle="1" w:styleId="BalloonTextChar">
    <w:name w:val="Balloon Text Char"/>
    <w:basedOn w:val="DefaultParagraphFont"/>
    <w:link w:val="BalloonText"/>
    <w:uiPriority w:val="99"/>
    <w:semiHidden/>
    <w:rsid w:val="00B83890"/>
    <w:rPr>
      <w:rFonts w:ascii="Tahoma" w:eastAsia="Times New Roman" w:hAnsi="Tahoma" w:cs="Tahoma"/>
      <w:sz w:val="16"/>
      <w:szCs w:val="16"/>
      <w:lang w:eastAsia="en-AU"/>
    </w:rPr>
  </w:style>
  <w:style w:type="paragraph" w:styleId="ListParagraph">
    <w:name w:val="List Paragraph"/>
    <w:basedOn w:val="Normal"/>
    <w:uiPriority w:val="34"/>
    <w:qFormat/>
    <w:rsid w:val="00B83890"/>
    <w:pPr>
      <w:ind w:left="720"/>
      <w:contextualSpacing/>
    </w:pPr>
  </w:style>
  <w:style w:type="character" w:styleId="SubtleEmphasis">
    <w:name w:val="Subtle Emphasis"/>
    <w:basedOn w:val="DefaultParagraphFont"/>
    <w:uiPriority w:val="19"/>
    <w:qFormat/>
    <w:rsid w:val="00B83890"/>
    <w:rPr>
      <w:i/>
      <w:iCs/>
      <w:color w:val="808080" w:themeColor="text1" w:themeTint="7F"/>
    </w:rPr>
  </w:style>
  <w:style w:type="paragraph" w:styleId="Revision">
    <w:name w:val="Revision"/>
    <w:hidden/>
    <w:uiPriority w:val="99"/>
    <w:semiHidden/>
    <w:rsid w:val="00B83890"/>
    <w:pPr>
      <w:spacing w:after="0" w:line="240" w:lineRule="auto"/>
    </w:pPr>
    <w:rPr>
      <w:rFonts w:ascii="Arial" w:eastAsia="Times New Roman" w:hAnsi="Arial" w:cs="Times New Roman"/>
      <w:lang w:eastAsia="en-AU"/>
    </w:rPr>
  </w:style>
  <w:style w:type="paragraph" w:styleId="NoSpacing">
    <w:name w:val="No Spacing"/>
    <w:uiPriority w:val="1"/>
    <w:qFormat/>
    <w:rsid w:val="00B83890"/>
    <w:pPr>
      <w:keepNext/>
      <w:spacing w:after="0" w:line="240" w:lineRule="auto"/>
      <w:outlineLvl w:val="0"/>
    </w:pPr>
    <w:rPr>
      <w:rFonts w:ascii="Arial" w:eastAsia="Times New Roman" w:hAnsi="Arial" w:cs="Times New Roman"/>
      <w:lang w:eastAsia="en-AU"/>
    </w:rPr>
  </w:style>
  <w:style w:type="character" w:styleId="FollowedHyperlink">
    <w:name w:val="FollowedHyperlink"/>
    <w:basedOn w:val="DefaultParagraphFont"/>
    <w:uiPriority w:val="99"/>
    <w:unhideWhenUsed/>
    <w:rsid w:val="00B83890"/>
    <w:rPr>
      <w:color w:val="800080" w:themeColor="followedHyperlink"/>
      <w:u w:val="single"/>
    </w:rPr>
  </w:style>
  <w:style w:type="character" w:styleId="CommentReference">
    <w:name w:val="annotation reference"/>
    <w:basedOn w:val="DefaultParagraphFont"/>
    <w:uiPriority w:val="99"/>
    <w:semiHidden/>
    <w:unhideWhenUsed/>
    <w:rsid w:val="00B83890"/>
    <w:rPr>
      <w:sz w:val="18"/>
      <w:szCs w:val="18"/>
    </w:rPr>
  </w:style>
  <w:style w:type="paragraph" w:styleId="CommentText">
    <w:name w:val="annotation text"/>
    <w:basedOn w:val="Normal"/>
    <w:link w:val="CommentTextChar"/>
    <w:unhideWhenUsed/>
    <w:rsid w:val="00B83890"/>
    <w:rPr>
      <w:sz w:val="24"/>
      <w:szCs w:val="24"/>
    </w:rPr>
  </w:style>
  <w:style w:type="character" w:customStyle="1" w:styleId="CommentTextChar">
    <w:name w:val="Comment Text Char"/>
    <w:basedOn w:val="DefaultParagraphFont"/>
    <w:link w:val="CommentText"/>
    <w:rsid w:val="00B83890"/>
    <w:rPr>
      <w:rFonts w:ascii="Arial" w:eastAsia="Times New Roman" w:hAnsi="Arial"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83890"/>
    <w:rPr>
      <w:b/>
      <w:bCs/>
      <w:sz w:val="20"/>
      <w:szCs w:val="20"/>
    </w:rPr>
  </w:style>
  <w:style w:type="character" w:customStyle="1" w:styleId="CommentSubjectChar">
    <w:name w:val="Comment Subject Char"/>
    <w:basedOn w:val="CommentTextChar"/>
    <w:link w:val="CommentSubject"/>
    <w:uiPriority w:val="99"/>
    <w:semiHidden/>
    <w:rsid w:val="00B83890"/>
    <w:rPr>
      <w:rFonts w:ascii="Arial" w:eastAsia="Times New Roman" w:hAnsi="Arial" w:cs="Times New Roman"/>
      <w:b/>
      <w:bCs/>
      <w:sz w:val="20"/>
      <w:szCs w:val="20"/>
      <w:lang w:eastAsia="en-AU"/>
    </w:rPr>
  </w:style>
  <w:style w:type="paragraph" w:customStyle="1" w:styleId="bullet-greyblob">
    <w:name w:val="bullet - grey blob"/>
    <w:basedOn w:val="Normal"/>
    <w:rsid w:val="00B83890"/>
    <w:pPr>
      <w:keepNext w:val="0"/>
      <w:numPr>
        <w:numId w:val="18"/>
      </w:numPr>
      <w:tabs>
        <w:tab w:val="left" w:pos="1134"/>
      </w:tabs>
      <w:spacing w:before="80"/>
      <w:outlineLvl w:val="9"/>
    </w:pPr>
    <w:rPr>
      <w:szCs w:val="20"/>
      <w:lang w:val="en-US"/>
    </w:rPr>
  </w:style>
  <w:style w:type="paragraph" w:styleId="Header">
    <w:name w:val="header"/>
    <w:basedOn w:val="Normal"/>
    <w:link w:val="HeaderChar"/>
    <w:rsid w:val="00B83890"/>
    <w:pPr>
      <w:tabs>
        <w:tab w:val="center" w:pos="4513"/>
        <w:tab w:val="right" w:pos="9026"/>
      </w:tabs>
    </w:pPr>
  </w:style>
  <w:style w:type="character" w:customStyle="1" w:styleId="HeaderChar">
    <w:name w:val="Header Char"/>
    <w:basedOn w:val="DefaultParagraphFont"/>
    <w:link w:val="Header"/>
    <w:uiPriority w:val="99"/>
    <w:rsid w:val="00B83890"/>
    <w:rPr>
      <w:rFonts w:ascii="Arial" w:eastAsia="Times New Roman" w:hAnsi="Arial" w:cs="Times New Roman"/>
      <w:lang w:eastAsia="en-AU"/>
    </w:rPr>
  </w:style>
  <w:style w:type="table" w:styleId="TableGrid">
    <w:name w:val="Table Grid"/>
    <w:basedOn w:val="TableNormal"/>
    <w:uiPriority w:val="59"/>
    <w:rsid w:val="00B83890"/>
    <w:pPr>
      <w:spacing w:after="0" w:line="240" w:lineRule="auto"/>
    </w:pPr>
    <w:rPr>
      <w:rFonts w:eastAsia="ヒラギノ角ゴ Pro W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Normal"/>
    <w:uiPriority w:val="99"/>
    <w:rsid w:val="00B83890"/>
    <w:pPr>
      <w:keepNext w:val="0"/>
      <w:tabs>
        <w:tab w:val="left" w:pos="360"/>
        <w:tab w:val="left" w:pos="720"/>
        <w:tab w:val="left" w:pos="1440"/>
      </w:tabs>
      <w:ind w:left="360"/>
      <w:outlineLvl w:val="9"/>
    </w:pPr>
    <w:rPr>
      <w:sz w:val="18"/>
      <w:szCs w:val="20"/>
    </w:rPr>
  </w:style>
  <w:style w:type="paragraph" w:customStyle="1" w:styleId="total">
    <w:name w:val="total"/>
    <w:basedOn w:val="Normal"/>
    <w:uiPriority w:val="99"/>
    <w:rsid w:val="00B83890"/>
    <w:pPr>
      <w:keepNext w:val="0"/>
      <w:tabs>
        <w:tab w:val="left" w:pos="360"/>
        <w:tab w:val="left" w:pos="720"/>
        <w:tab w:val="left" w:pos="1440"/>
      </w:tabs>
      <w:outlineLvl w:val="9"/>
    </w:pPr>
    <w:rPr>
      <w:b/>
      <w:caps/>
      <w:color w:val="000000"/>
      <w:sz w:val="18"/>
      <w:szCs w:val="20"/>
      <w:lang w:val="en-GB"/>
    </w:rPr>
  </w:style>
  <w:style w:type="paragraph" w:customStyle="1" w:styleId="Heading">
    <w:name w:val="Heading"/>
    <w:basedOn w:val="Normal"/>
    <w:uiPriority w:val="99"/>
    <w:rsid w:val="00B83890"/>
    <w:pPr>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jc w:val="center"/>
      <w:outlineLvl w:val="9"/>
    </w:pPr>
    <w:rPr>
      <w:rFonts w:ascii="Times New Roman" w:hAnsi="Times New Roman"/>
      <w:b/>
      <w:sz w:val="44"/>
      <w:szCs w:val="20"/>
      <w:lang w:val="en-US"/>
    </w:rPr>
  </w:style>
  <w:style w:type="paragraph" w:styleId="NormalIndent">
    <w:name w:val="Normal Indent"/>
    <w:basedOn w:val="Normal"/>
    <w:uiPriority w:val="99"/>
    <w:rsid w:val="00B83890"/>
    <w:pPr>
      <w:keepNext w:val="0"/>
      <w:tabs>
        <w:tab w:val="left" w:pos="360"/>
        <w:tab w:val="left" w:pos="720"/>
        <w:tab w:val="left" w:pos="1440"/>
      </w:tabs>
      <w:ind w:left="360" w:hanging="360"/>
      <w:outlineLvl w:val="9"/>
    </w:pPr>
    <w:rPr>
      <w:sz w:val="18"/>
      <w:szCs w:val="20"/>
    </w:rPr>
  </w:style>
  <w:style w:type="paragraph" w:styleId="DocumentMap">
    <w:name w:val="Document Map"/>
    <w:basedOn w:val="Normal"/>
    <w:link w:val="DocumentMapChar"/>
    <w:uiPriority w:val="99"/>
    <w:rsid w:val="00B83890"/>
    <w:pPr>
      <w:keepNext w:val="0"/>
      <w:shd w:val="clear" w:color="auto" w:fill="000080"/>
      <w:outlineLvl w:val="9"/>
    </w:pPr>
    <w:rPr>
      <w:rFonts w:ascii="Tahoma" w:hAnsi="Tahoma"/>
      <w:sz w:val="20"/>
      <w:szCs w:val="20"/>
    </w:rPr>
  </w:style>
  <w:style w:type="character" w:customStyle="1" w:styleId="DocumentMapChar">
    <w:name w:val="Document Map Char"/>
    <w:basedOn w:val="DefaultParagraphFont"/>
    <w:link w:val="DocumentMap"/>
    <w:uiPriority w:val="99"/>
    <w:rsid w:val="00B83890"/>
    <w:rPr>
      <w:rFonts w:ascii="Tahoma" w:eastAsia="Times New Roman" w:hAnsi="Tahoma" w:cs="Times New Roman"/>
      <w:sz w:val="20"/>
      <w:szCs w:val="20"/>
      <w:shd w:val="clear" w:color="auto" w:fill="000080"/>
      <w:lang w:eastAsia="en-AU"/>
    </w:rPr>
  </w:style>
  <w:style w:type="paragraph" w:styleId="BlockText">
    <w:name w:val="Block Text"/>
    <w:basedOn w:val="Normal"/>
    <w:uiPriority w:val="99"/>
    <w:rsid w:val="00B83890"/>
    <w:pPr>
      <w:keepNext w:val="0"/>
      <w:ind w:left="680" w:right="680"/>
      <w:jc w:val="both"/>
      <w:outlineLvl w:val="9"/>
    </w:pPr>
    <w:rPr>
      <w:sz w:val="20"/>
      <w:szCs w:val="20"/>
    </w:rPr>
  </w:style>
  <w:style w:type="paragraph" w:styleId="BodyTextIndent2">
    <w:name w:val="Body Text Indent 2"/>
    <w:basedOn w:val="Normal"/>
    <w:link w:val="BodyTextIndent2Char"/>
    <w:uiPriority w:val="99"/>
    <w:rsid w:val="00B83890"/>
    <w:pPr>
      <w:keepNext w:val="0"/>
      <w:ind w:left="709" w:firstLine="349"/>
      <w:outlineLvl w:val="9"/>
    </w:pPr>
    <w:rPr>
      <w:sz w:val="20"/>
      <w:szCs w:val="20"/>
    </w:rPr>
  </w:style>
  <w:style w:type="character" w:customStyle="1" w:styleId="BodyTextIndent2Char">
    <w:name w:val="Body Text Indent 2 Char"/>
    <w:basedOn w:val="DefaultParagraphFont"/>
    <w:link w:val="BodyTextIndent2"/>
    <w:uiPriority w:val="99"/>
    <w:rsid w:val="00B83890"/>
    <w:rPr>
      <w:rFonts w:ascii="Arial" w:eastAsia="Times New Roman" w:hAnsi="Arial" w:cs="Times New Roman"/>
      <w:sz w:val="20"/>
      <w:szCs w:val="20"/>
      <w:lang w:eastAsia="en-AU"/>
    </w:rPr>
  </w:style>
  <w:style w:type="paragraph" w:styleId="BodyText2">
    <w:name w:val="Body Text 2"/>
    <w:basedOn w:val="Normal"/>
    <w:link w:val="BodyText2Char"/>
    <w:rsid w:val="00B83890"/>
    <w:pPr>
      <w:keepNext w:val="0"/>
      <w:outlineLvl w:val="9"/>
    </w:pPr>
    <w:rPr>
      <w:i/>
      <w:color w:val="000000"/>
      <w:sz w:val="20"/>
      <w:szCs w:val="20"/>
      <w:lang w:val="en-GB"/>
    </w:rPr>
  </w:style>
  <w:style w:type="character" w:customStyle="1" w:styleId="BodyText2Char">
    <w:name w:val="Body Text 2 Char"/>
    <w:basedOn w:val="DefaultParagraphFont"/>
    <w:link w:val="BodyText2"/>
    <w:uiPriority w:val="99"/>
    <w:rsid w:val="00B83890"/>
    <w:rPr>
      <w:rFonts w:ascii="Arial" w:eastAsia="Times New Roman" w:hAnsi="Arial" w:cs="Times New Roman"/>
      <w:i/>
      <w:color w:val="000000"/>
      <w:sz w:val="20"/>
      <w:szCs w:val="20"/>
      <w:lang w:val="en-GB" w:eastAsia="en-AU"/>
    </w:rPr>
  </w:style>
  <w:style w:type="paragraph" w:styleId="BodyText3">
    <w:name w:val="Body Text 3"/>
    <w:basedOn w:val="Normal"/>
    <w:link w:val="BodyText3Char"/>
    <w:uiPriority w:val="99"/>
    <w:rsid w:val="00B83890"/>
    <w:pPr>
      <w:keepNext w:val="0"/>
      <w:outlineLvl w:val="9"/>
    </w:pPr>
    <w:rPr>
      <w:i/>
      <w:sz w:val="20"/>
      <w:szCs w:val="20"/>
    </w:rPr>
  </w:style>
  <w:style w:type="character" w:customStyle="1" w:styleId="BodyText3Char">
    <w:name w:val="Body Text 3 Char"/>
    <w:basedOn w:val="DefaultParagraphFont"/>
    <w:link w:val="BodyText3"/>
    <w:uiPriority w:val="99"/>
    <w:rsid w:val="00B83890"/>
    <w:rPr>
      <w:rFonts w:ascii="Arial" w:eastAsia="Times New Roman" w:hAnsi="Arial" w:cs="Times New Roman"/>
      <w:i/>
      <w:sz w:val="20"/>
      <w:szCs w:val="20"/>
      <w:lang w:eastAsia="en-AU"/>
    </w:rPr>
  </w:style>
  <w:style w:type="paragraph" w:styleId="BodyTextIndent3">
    <w:name w:val="Body Text Indent 3"/>
    <w:basedOn w:val="Normal"/>
    <w:link w:val="BodyTextIndent3Char"/>
    <w:rsid w:val="00B83890"/>
    <w:pPr>
      <w:keepNext w:val="0"/>
      <w:ind w:left="360"/>
      <w:outlineLvl w:val="9"/>
    </w:pPr>
    <w:rPr>
      <w:sz w:val="20"/>
      <w:szCs w:val="20"/>
      <w:lang w:val="en-GB"/>
    </w:rPr>
  </w:style>
  <w:style w:type="character" w:customStyle="1" w:styleId="BodyTextIndent3Char">
    <w:name w:val="Body Text Indent 3 Char"/>
    <w:basedOn w:val="DefaultParagraphFont"/>
    <w:link w:val="BodyTextIndent3"/>
    <w:uiPriority w:val="99"/>
    <w:rsid w:val="00B83890"/>
    <w:rPr>
      <w:rFonts w:ascii="Arial" w:eastAsia="Times New Roman" w:hAnsi="Arial" w:cs="Times New Roman"/>
      <w:sz w:val="20"/>
      <w:szCs w:val="20"/>
      <w:lang w:val="en-GB" w:eastAsia="en-AU"/>
    </w:rPr>
  </w:style>
  <w:style w:type="paragraph" w:customStyle="1" w:styleId="VAText">
    <w:name w:val="VAText"/>
    <w:basedOn w:val="Normal"/>
    <w:uiPriority w:val="99"/>
    <w:rsid w:val="00B83890"/>
    <w:pPr>
      <w:keepNext w:val="0"/>
      <w:jc w:val="both"/>
      <w:outlineLvl w:val="9"/>
    </w:pPr>
    <w:rPr>
      <w:rFonts w:ascii="Times New Roman" w:hAnsi="Times New Roman"/>
      <w:szCs w:val="20"/>
      <w:lang w:val="en-GB" w:eastAsia="en-US"/>
    </w:rPr>
  </w:style>
  <w:style w:type="paragraph" w:customStyle="1" w:styleId="DefaultText">
    <w:name w:val="Default Text"/>
    <w:basedOn w:val="Normal"/>
    <w:uiPriority w:val="99"/>
    <w:rsid w:val="00B83890"/>
    <w:pPr>
      <w:keepNext w:val="0"/>
      <w:spacing w:before="170" w:line="288" w:lineRule="exact"/>
      <w:jc w:val="both"/>
      <w:outlineLvl w:val="9"/>
    </w:pPr>
    <w:rPr>
      <w:rFonts w:ascii="Times New Roman" w:hAnsi="Times New Roman"/>
      <w:sz w:val="20"/>
      <w:szCs w:val="20"/>
      <w:lang w:eastAsia="en-US"/>
    </w:rPr>
  </w:style>
  <w:style w:type="paragraph" w:customStyle="1" w:styleId="ComLevel1">
    <w:name w:val="ComLevel1"/>
    <w:basedOn w:val="Normal"/>
    <w:uiPriority w:val="99"/>
    <w:rsid w:val="00B83890"/>
    <w:pPr>
      <w:keepNext w:val="0"/>
      <w:spacing w:before="120" w:after="120"/>
      <w:jc w:val="both"/>
      <w:outlineLvl w:val="9"/>
    </w:pPr>
    <w:rPr>
      <w:rFonts w:ascii="Times New Roman" w:hAnsi="Times New Roman"/>
      <w:sz w:val="18"/>
      <w:szCs w:val="20"/>
      <w:lang w:eastAsia="en-US"/>
    </w:rPr>
  </w:style>
  <w:style w:type="paragraph" w:customStyle="1" w:styleId="CommentaryLevels">
    <w:name w:val="CommentaryLevels"/>
    <w:basedOn w:val="Normal"/>
    <w:uiPriority w:val="99"/>
    <w:rsid w:val="00B83890"/>
    <w:pPr>
      <w:keepNext w:val="0"/>
      <w:spacing w:before="60" w:after="60"/>
      <w:outlineLvl w:val="9"/>
    </w:pPr>
    <w:rPr>
      <w:rFonts w:ascii="Times New Roman" w:hAnsi="Times New Roman"/>
      <w:sz w:val="20"/>
      <w:szCs w:val="20"/>
      <w:lang w:eastAsia="en-US"/>
    </w:rPr>
  </w:style>
  <w:style w:type="paragraph" w:customStyle="1" w:styleId="BulletText">
    <w:name w:val="Bullet Text"/>
    <w:basedOn w:val="Normal"/>
    <w:uiPriority w:val="99"/>
    <w:rsid w:val="00B83890"/>
    <w:pPr>
      <w:keepNext w:val="0"/>
      <w:tabs>
        <w:tab w:val="num" w:pos="360"/>
      </w:tabs>
      <w:spacing w:after="120"/>
      <w:ind w:left="360" w:hanging="360"/>
      <w:jc w:val="both"/>
      <w:outlineLvl w:val="9"/>
    </w:pPr>
    <w:rPr>
      <w:rFonts w:ascii="Times New Roman" w:hAnsi="Times New Roman"/>
      <w:szCs w:val="20"/>
      <w:lang w:eastAsia="en-US"/>
    </w:rPr>
  </w:style>
  <w:style w:type="paragraph" w:styleId="FootnoteText">
    <w:name w:val="footnote text"/>
    <w:basedOn w:val="Normal"/>
    <w:link w:val="FootnoteTextChar"/>
    <w:uiPriority w:val="99"/>
    <w:rsid w:val="00B83890"/>
    <w:pPr>
      <w:keepNext w:val="0"/>
      <w:outlineLvl w:val="9"/>
    </w:pPr>
    <w:rPr>
      <w:rFonts w:ascii="Times New Roman" w:hAnsi="Times New Roman"/>
      <w:sz w:val="20"/>
      <w:szCs w:val="20"/>
      <w:lang w:eastAsia="en-US"/>
    </w:rPr>
  </w:style>
  <w:style w:type="character" w:customStyle="1" w:styleId="FootnoteTextChar">
    <w:name w:val="Footnote Text Char"/>
    <w:basedOn w:val="DefaultParagraphFont"/>
    <w:link w:val="FootnoteText"/>
    <w:uiPriority w:val="99"/>
    <w:rsid w:val="00B8389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B83890"/>
    <w:rPr>
      <w:rFonts w:cs="Times New Roman"/>
      <w:vertAlign w:val="superscript"/>
    </w:rPr>
  </w:style>
  <w:style w:type="paragraph" w:customStyle="1" w:styleId="HeadingD">
    <w:name w:val="HeadingD"/>
    <w:basedOn w:val="Normal"/>
    <w:uiPriority w:val="99"/>
    <w:rsid w:val="00B83890"/>
    <w:pPr>
      <w:keepLines/>
      <w:tabs>
        <w:tab w:val="left" w:pos="317"/>
        <w:tab w:val="left" w:pos="743"/>
      </w:tabs>
      <w:spacing w:before="60" w:after="60"/>
      <w:jc w:val="both"/>
      <w:outlineLvl w:val="9"/>
    </w:pPr>
    <w:rPr>
      <w:rFonts w:ascii="Times New Roman" w:hAnsi="Times New Roman"/>
      <w:b/>
      <w:szCs w:val="20"/>
      <w:lang w:val="en-GB" w:eastAsia="en-US"/>
    </w:rPr>
  </w:style>
  <w:style w:type="paragraph" w:customStyle="1" w:styleId="Notestyle">
    <w:name w:val="Note style"/>
    <w:basedOn w:val="Normal"/>
    <w:uiPriority w:val="99"/>
    <w:rsid w:val="00B83890"/>
    <w:pPr>
      <w:keepNext w:val="0"/>
      <w:tabs>
        <w:tab w:val="left" w:pos="357"/>
      </w:tabs>
      <w:spacing w:before="120" w:after="120"/>
      <w:ind w:left="318"/>
      <w:jc w:val="both"/>
      <w:outlineLvl w:val="9"/>
    </w:pPr>
    <w:rPr>
      <w:rFonts w:ascii="Times New Roman" w:hAnsi="Times New Roman"/>
      <w:sz w:val="18"/>
      <w:szCs w:val="20"/>
      <w:lang w:eastAsia="en-US"/>
    </w:rPr>
  </w:style>
  <w:style w:type="paragraph" w:customStyle="1" w:styleId="MMLetterCopy">
    <w:name w:val="MM Letter Copy"/>
    <w:basedOn w:val="Normal"/>
    <w:uiPriority w:val="99"/>
    <w:rsid w:val="00B83890"/>
    <w:pPr>
      <w:keepNext w:val="0"/>
      <w:spacing w:line="260" w:lineRule="exact"/>
      <w:outlineLvl w:val="9"/>
    </w:pPr>
    <w:rPr>
      <w:szCs w:val="24"/>
      <w:lang w:eastAsia="en-US"/>
    </w:rPr>
  </w:style>
  <w:style w:type="paragraph" w:customStyle="1" w:styleId="Tabletextheading">
    <w:name w:val="Table text heading"/>
    <w:basedOn w:val="TableofFigures"/>
    <w:link w:val="TabletextheadingChar"/>
    <w:rsid w:val="00B83890"/>
    <w:pPr>
      <w:spacing w:before="30" w:after="30"/>
      <w:ind w:left="0" w:firstLine="0"/>
      <w:jc w:val="right"/>
    </w:pPr>
    <w:rPr>
      <w:rFonts w:ascii="Arial" w:hAnsi="Arial"/>
      <w:i/>
      <w:noProof/>
      <w:sz w:val="18"/>
    </w:rPr>
  </w:style>
  <w:style w:type="paragraph" w:styleId="TableofFigures">
    <w:name w:val="table of figures"/>
    <w:basedOn w:val="Normal"/>
    <w:next w:val="Normal"/>
    <w:link w:val="TableofFiguresChar"/>
    <w:uiPriority w:val="99"/>
    <w:rsid w:val="00B83890"/>
    <w:pPr>
      <w:keepNext w:val="0"/>
      <w:ind w:left="400" w:hanging="400"/>
      <w:outlineLvl w:val="9"/>
    </w:pPr>
    <w:rPr>
      <w:rFonts w:ascii="Times New Roman" w:hAnsi="Times New Roman"/>
      <w:sz w:val="20"/>
      <w:szCs w:val="20"/>
    </w:rPr>
  </w:style>
  <w:style w:type="paragraph" w:customStyle="1" w:styleId="Tableheading">
    <w:name w:val="Table heading"/>
    <w:basedOn w:val="Normal"/>
    <w:link w:val="TableheadingChar"/>
    <w:uiPriority w:val="99"/>
    <w:rsid w:val="00B83890"/>
    <w:pPr>
      <w:spacing w:before="240"/>
      <w:outlineLvl w:val="9"/>
    </w:pPr>
    <w:rPr>
      <w:rFonts w:cs="Arial"/>
      <w:b/>
      <w:bCs/>
      <w:sz w:val="20"/>
      <w:szCs w:val="20"/>
      <w:lang w:eastAsia="en-US"/>
    </w:rPr>
  </w:style>
  <w:style w:type="paragraph" w:customStyle="1" w:styleId="TableText">
    <w:name w:val="Table Text"/>
    <w:basedOn w:val="Normal"/>
    <w:rsid w:val="00B83890"/>
    <w:pPr>
      <w:keepNext w:val="0"/>
      <w:spacing w:before="30" w:after="30"/>
      <w:outlineLvl w:val="9"/>
    </w:pPr>
    <w:rPr>
      <w:rFonts w:cs="Arial"/>
      <w:sz w:val="18"/>
      <w:szCs w:val="18"/>
    </w:rPr>
  </w:style>
  <w:style w:type="paragraph" w:customStyle="1" w:styleId="TabletextheadingCentred">
    <w:name w:val="Table text heading Centred"/>
    <w:basedOn w:val="Tabletextheading"/>
    <w:link w:val="TabletextheadingCentredChar"/>
    <w:rsid w:val="00B83890"/>
    <w:pPr>
      <w:spacing w:before="0" w:after="0"/>
      <w:jc w:val="center"/>
    </w:pPr>
    <w:rPr>
      <w:rFonts w:cs="Arial"/>
      <w:iCs/>
      <w:noProof w:val="0"/>
      <w:sz w:val="20"/>
      <w:lang w:eastAsia="en-US"/>
    </w:rPr>
  </w:style>
  <w:style w:type="character" w:customStyle="1" w:styleId="TableofFiguresChar">
    <w:name w:val="Table of Figures Char"/>
    <w:basedOn w:val="DefaultParagraphFont"/>
    <w:link w:val="TableofFigures"/>
    <w:uiPriority w:val="99"/>
    <w:locked/>
    <w:rsid w:val="00B83890"/>
    <w:rPr>
      <w:rFonts w:ascii="Times New Roman" w:eastAsia="Times New Roman" w:hAnsi="Times New Roman" w:cs="Times New Roman"/>
      <w:sz w:val="20"/>
      <w:szCs w:val="20"/>
      <w:lang w:eastAsia="en-AU"/>
    </w:rPr>
  </w:style>
  <w:style w:type="character" w:customStyle="1" w:styleId="TableheadingChar">
    <w:name w:val="Table heading Char"/>
    <w:basedOn w:val="DefaultParagraphFont"/>
    <w:link w:val="Tableheading"/>
    <w:uiPriority w:val="99"/>
    <w:locked/>
    <w:rsid w:val="00B83890"/>
    <w:rPr>
      <w:rFonts w:ascii="Arial" w:eastAsia="Times New Roman" w:hAnsi="Arial" w:cs="Arial"/>
      <w:b/>
      <w:bCs/>
      <w:sz w:val="20"/>
      <w:szCs w:val="20"/>
    </w:rPr>
  </w:style>
  <w:style w:type="character" w:customStyle="1" w:styleId="TabletextheadingChar">
    <w:name w:val="Table text heading Char"/>
    <w:basedOn w:val="TableofFiguresChar"/>
    <w:link w:val="Tabletextheading"/>
    <w:locked/>
    <w:rsid w:val="00B83890"/>
    <w:rPr>
      <w:rFonts w:ascii="Arial" w:eastAsia="Times New Roman" w:hAnsi="Arial" w:cs="Times New Roman"/>
      <w:i/>
      <w:noProof/>
      <w:sz w:val="18"/>
      <w:szCs w:val="20"/>
      <w:lang w:eastAsia="en-AU"/>
    </w:rPr>
  </w:style>
  <w:style w:type="paragraph" w:customStyle="1" w:styleId="TableofFigures1">
    <w:name w:val="Table of Figures1"/>
    <w:basedOn w:val="TableText"/>
    <w:rsid w:val="00B83890"/>
    <w:pPr>
      <w:jc w:val="right"/>
    </w:pPr>
    <w:rPr>
      <w:rFonts w:ascii="Calibri" w:hAnsi="Calibri"/>
      <w:iCs/>
    </w:rPr>
  </w:style>
  <w:style w:type="character" w:customStyle="1" w:styleId="TabletextheadingCentredChar">
    <w:name w:val="Table text heading Centred Char"/>
    <w:link w:val="TabletextheadingCentred"/>
    <w:locked/>
    <w:rsid w:val="00B83890"/>
    <w:rPr>
      <w:rFonts w:ascii="Arial" w:eastAsia="Times New Roman" w:hAnsi="Arial" w:cs="Arial"/>
      <w:i/>
      <w:iCs/>
      <w:sz w:val="20"/>
      <w:szCs w:val="20"/>
    </w:rPr>
  </w:style>
  <w:style w:type="paragraph" w:styleId="Title">
    <w:name w:val="Title"/>
    <w:basedOn w:val="Normal"/>
    <w:next w:val="Normal"/>
    <w:link w:val="TitleChar"/>
    <w:uiPriority w:val="10"/>
    <w:qFormat/>
    <w:rsid w:val="00751B3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1B3E"/>
    <w:rPr>
      <w:rFonts w:asciiTheme="majorHAnsi" w:eastAsiaTheme="majorEastAsia" w:hAnsiTheme="majorHAnsi" w:cstheme="majorBidi"/>
      <w:color w:val="17365D" w:themeColor="text2" w:themeShade="BF"/>
      <w:spacing w:val="5"/>
      <w:kern w:val="28"/>
      <w:sz w:val="52"/>
      <w:szCs w:val="52"/>
      <w:lang w:eastAsia="en-AU"/>
    </w:rPr>
  </w:style>
  <w:style w:type="character" w:styleId="Strong">
    <w:name w:val="Strong"/>
    <w:basedOn w:val="DefaultParagraphFont"/>
    <w:uiPriority w:val="22"/>
    <w:qFormat/>
    <w:rsid w:val="00C14C5D"/>
    <w:rPr>
      <w:b/>
    </w:rPr>
  </w:style>
  <w:style w:type="character" w:styleId="Emphasis">
    <w:name w:val="Emphasis"/>
    <w:basedOn w:val="DefaultParagraphFont"/>
    <w:uiPriority w:val="20"/>
    <w:qFormat/>
    <w:rsid w:val="00C14C5D"/>
    <w:rPr>
      <w:i/>
      <w:iCs/>
    </w:rPr>
  </w:style>
  <w:style w:type="paragraph" w:customStyle="1" w:styleId="PlainText1">
    <w:name w:val="Plain Text1"/>
    <w:basedOn w:val="Normal"/>
    <w:rsid w:val="00C14C5D"/>
    <w:pPr>
      <w:keepNext w:val="0"/>
      <w:outlineLvl w:val="9"/>
    </w:pPr>
    <w:rPr>
      <w:rFonts w:cs="Arial"/>
      <w:szCs w:val="24"/>
    </w:rPr>
  </w:style>
  <w:style w:type="paragraph" w:customStyle="1" w:styleId="textfont">
    <w:name w:val="textfont"/>
    <w:basedOn w:val="Normal"/>
    <w:rsid w:val="00C14C5D"/>
    <w:pPr>
      <w:keepNext w:val="0"/>
      <w:overflowPunct w:val="0"/>
      <w:autoSpaceDE w:val="0"/>
      <w:autoSpaceDN w:val="0"/>
      <w:spacing w:before="100" w:after="100"/>
      <w:outlineLvl w:val="9"/>
    </w:pPr>
    <w:rPr>
      <w:szCs w:val="24"/>
    </w:rPr>
  </w:style>
  <w:style w:type="paragraph" w:styleId="Date">
    <w:name w:val="Date"/>
    <w:basedOn w:val="Normal"/>
    <w:next w:val="Normal"/>
    <w:link w:val="DateChar"/>
    <w:rsid w:val="00C14C5D"/>
    <w:pPr>
      <w:keepNext w:val="0"/>
      <w:outlineLvl w:val="9"/>
    </w:pPr>
    <w:rPr>
      <w:szCs w:val="20"/>
    </w:rPr>
  </w:style>
  <w:style w:type="character" w:customStyle="1" w:styleId="DateChar">
    <w:name w:val="Date Char"/>
    <w:basedOn w:val="DefaultParagraphFont"/>
    <w:link w:val="Date"/>
    <w:rsid w:val="00C14C5D"/>
    <w:rPr>
      <w:rFonts w:ascii="Arial" w:eastAsia="Times New Roman" w:hAnsi="Arial" w:cs="Times New Roman"/>
      <w:szCs w:val="20"/>
      <w:lang w:eastAsia="en-AU"/>
    </w:rPr>
  </w:style>
  <w:style w:type="paragraph" w:customStyle="1" w:styleId="bullet1">
    <w:name w:val="bullet1"/>
    <w:basedOn w:val="Normal"/>
    <w:rsid w:val="00C14C5D"/>
    <w:pPr>
      <w:keepNext w:val="0"/>
      <w:tabs>
        <w:tab w:val="num" w:pos="720"/>
      </w:tabs>
      <w:spacing w:after="240"/>
      <w:ind w:left="720" w:hanging="360"/>
      <w:jc w:val="both"/>
      <w:outlineLvl w:val="9"/>
    </w:pPr>
    <w:rPr>
      <w:szCs w:val="20"/>
      <w:lang w:val="en-US"/>
    </w:rPr>
  </w:style>
  <w:style w:type="paragraph" w:customStyle="1" w:styleId="number1">
    <w:name w:val="number1"/>
    <w:basedOn w:val="Normal"/>
    <w:rsid w:val="00C14C5D"/>
    <w:pPr>
      <w:keepNext w:val="0"/>
      <w:tabs>
        <w:tab w:val="num" w:pos="1440"/>
      </w:tabs>
      <w:autoSpaceDE w:val="0"/>
      <w:autoSpaceDN w:val="0"/>
      <w:adjustRightInd w:val="0"/>
      <w:spacing w:after="240"/>
      <w:ind w:left="1077" w:hanging="357"/>
      <w:jc w:val="both"/>
      <w:outlineLvl w:val="9"/>
    </w:pPr>
    <w:rPr>
      <w:rFonts w:ascii="TimesNewRomanPSMT" w:hAnsi="TimesNewRomanPSMT"/>
      <w:szCs w:val="20"/>
      <w:lang w:val="en-GB"/>
    </w:rPr>
  </w:style>
  <w:style w:type="paragraph" w:customStyle="1" w:styleId="Normal2">
    <w:name w:val="Normal2"/>
    <w:basedOn w:val="Normal"/>
    <w:rsid w:val="00C14C5D"/>
    <w:pPr>
      <w:keepNext w:val="0"/>
      <w:ind w:left="720"/>
      <w:jc w:val="both"/>
      <w:outlineLvl w:val="9"/>
    </w:pPr>
    <w:rPr>
      <w:szCs w:val="20"/>
      <w:lang w:val="en-GB"/>
    </w:rPr>
  </w:style>
  <w:style w:type="paragraph" w:styleId="List5">
    <w:name w:val="List 5"/>
    <w:basedOn w:val="Normal"/>
    <w:rsid w:val="00C14C5D"/>
    <w:pPr>
      <w:keepNext w:val="0"/>
      <w:ind w:left="1415" w:hanging="283"/>
      <w:outlineLvl w:val="9"/>
    </w:pPr>
    <w:rPr>
      <w:szCs w:val="20"/>
      <w:lang w:eastAsia="en-US"/>
    </w:rPr>
  </w:style>
  <w:style w:type="character" w:customStyle="1" w:styleId="apple-style-span">
    <w:name w:val="apple-style-span"/>
    <w:basedOn w:val="DefaultParagraphFont"/>
    <w:rsid w:val="00C14C5D"/>
  </w:style>
  <w:style w:type="paragraph" w:customStyle="1" w:styleId="Pa3">
    <w:name w:val="Pa3"/>
    <w:basedOn w:val="Normal"/>
    <w:next w:val="Normal"/>
    <w:rsid w:val="00C14C5D"/>
    <w:pPr>
      <w:keepNext w:val="0"/>
      <w:autoSpaceDE w:val="0"/>
      <w:autoSpaceDN w:val="0"/>
      <w:adjustRightInd w:val="0"/>
      <w:spacing w:line="241" w:lineRule="atLeast"/>
      <w:outlineLvl w:val="9"/>
    </w:pPr>
    <w:rPr>
      <w:rFonts w:ascii="Univers 45 Light" w:hAnsi="Univers 45 Light"/>
      <w:szCs w:val="24"/>
    </w:rPr>
  </w:style>
  <w:style w:type="character" w:customStyle="1" w:styleId="A2">
    <w:name w:val="A2"/>
    <w:rsid w:val="00C14C5D"/>
    <w:rPr>
      <w:rFonts w:ascii="Univers 55" w:hAnsi="Univers 55" w:cs="Univers 55"/>
      <w:color w:val="000000"/>
      <w:sz w:val="16"/>
      <w:szCs w:val="16"/>
    </w:rPr>
  </w:style>
  <w:style w:type="paragraph" w:customStyle="1" w:styleId="Pa0">
    <w:name w:val="Pa0"/>
    <w:basedOn w:val="Normal"/>
    <w:next w:val="Normal"/>
    <w:rsid w:val="00C14C5D"/>
    <w:pPr>
      <w:keepNext w:val="0"/>
      <w:autoSpaceDE w:val="0"/>
      <w:autoSpaceDN w:val="0"/>
      <w:adjustRightInd w:val="0"/>
      <w:spacing w:line="241" w:lineRule="atLeast"/>
      <w:outlineLvl w:val="9"/>
    </w:pPr>
    <w:rPr>
      <w:rFonts w:ascii="Univers 45 Light" w:hAnsi="Univers 45 Light"/>
      <w:szCs w:val="24"/>
    </w:rPr>
  </w:style>
  <w:style w:type="paragraph" w:styleId="PlainText">
    <w:name w:val="Plain Text"/>
    <w:basedOn w:val="Normal"/>
    <w:link w:val="PlainTextChar"/>
    <w:uiPriority w:val="99"/>
    <w:rsid w:val="00C14C5D"/>
    <w:pPr>
      <w:keepNext w:val="0"/>
      <w:outlineLvl w:val="9"/>
    </w:pPr>
    <w:rPr>
      <w:rFonts w:cs="Courier New"/>
      <w:sz w:val="20"/>
      <w:szCs w:val="20"/>
    </w:rPr>
  </w:style>
  <w:style w:type="character" w:customStyle="1" w:styleId="PlainTextChar">
    <w:name w:val="Plain Text Char"/>
    <w:basedOn w:val="DefaultParagraphFont"/>
    <w:link w:val="PlainText"/>
    <w:uiPriority w:val="99"/>
    <w:rsid w:val="00C14C5D"/>
    <w:rPr>
      <w:rFonts w:ascii="Arial" w:eastAsia="Times New Roman" w:hAnsi="Arial" w:cs="Courier New"/>
      <w:sz w:val="20"/>
      <w:szCs w:val="20"/>
      <w:lang w:eastAsia="en-AU"/>
    </w:rPr>
  </w:style>
  <w:style w:type="paragraph" w:customStyle="1" w:styleId="draftheading3">
    <w:name w:val="draftheading3"/>
    <w:basedOn w:val="Normal"/>
    <w:rsid w:val="00C14C5D"/>
    <w:pPr>
      <w:keepNext w:val="0"/>
      <w:overflowPunct w:val="0"/>
      <w:autoSpaceDE w:val="0"/>
      <w:autoSpaceDN w:val="0"/>
      <w:spacing w:before="120"/>
      <w:outlineLvl w:val="9"/>
    </w:pPr>
    <w:rPr>
      <w:szCs w:val="24"/>
    </w:rPr>
  </w:style>
  <w:style w:type="paragraph" w:customStyle="1" w:styleId="CharChar">
    <w:name w:val="Char Char"/>
    <w:basedOn w:val="Normal"/>
    <w:rsid w:val="00C14C5D"/>
    <w:pPr>
      <w:keepNext w:val="0"/>
      <w:spacing w:after="160" w:line="240" w:lineRule="exact"/>
      <w:outlineLvl w:val="9"/>
    </w:pPr>
    <w:rPr>
      <w:rFonts w:ascii="Tahoma" w:hAnsi="Tahoma" w:cs="Tahoma"/>
      <w:sz w:val="20"/>
      <w:szCs w:val="20"/>
      <w:lang w:val="en-US" w:eastAsia="en-US"/>
    </w:rPr>
  </w:style>
  <w:style w:type="character" w:customStyle="1" w:styleId="refbody">
    <w:name w:val="refbody"/>
    <w:basedOn w:val="DefaultParagraphFont"/>
    <w:rsid w:val="00C14C5D"/>
  </w:style>
  <w:style w:type="paragraph" w:customStyle="1" w:styleId="Default">
    <w:name w:val="Default"/>
    <w:uiPriority w:val="99"/>
    <w:rsid w:val="00C14C5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A3">
    <w:name w:val="A3"/>
    <w:rsid w:val="00C14C5D"/>
    <w:rPr>
      <w:b/>
      <w:bCs/>
      <w:color w:val="000000"/>
      <w:sz w:val="14"/>
      <w:szCs w:val="14"/>
    </w:rPr>
  </w:style>
  <w:style w:type="character" w:customStyle="1" w:styleId="A4">
    <w:name w:val="A4"/>
    <w:uiPriority w:val="99"/>
    <w:rsid w:val="00C14C5D"/>
    <w:rPr>
      <w:b/>
      <w:bCs/>
      <w:color w:val="000000"/>
      <w:sz w:val="14"/>
      <w:szCs w:val="14"/>
    </w:rPr>
  </w:style>
  <w:style w:type="character" w:customStyle="1" w:styleId="A5">
    <w:name w:val="A5"/>
    <w:uiPriority w:val="99"/>
    <w:rsid w:val="00C14C5D"/>
    <w:rPr>
      <w:b/>
      <w:bCs/>
      <w:color w:val="000000"/>
      <w:sz w:val="12"/>
      <w:szCs w:val="12"/>
    </w:rPr>
  </w:style>
  <w:style w:type="character" w:customStyle="1" w:styleId="st">
    <w:name w:val="st"/>
    <w:basedOn w:val="DefaultParagraphFont"/>
    <w:rsid w:val="00C14C5D"/>
  </w:style>
  <w:style w:type="character" w:customStyle="1" w:styleId="availorange5">
    <w:name w:val="availorange5"/>
    <w:basedOn w:val="DefaultParagraphFont"/>
    <w:rsid w:val="00C14C5D"/>
    <w:rPr>
      <w:b/>
      <w:bCs/>
      <w:color w:val="CC6600"/>
      <w:sz w:val="28"/>
      <w:szCs w:val="28"/>
    </w:rPr>
  </w:style>
  <w:style w:type="character" w:customStyle="1" w:styleId="Strong1">
    <w:name w:val="Strong1"/>
    <w:basedOn w:val="DefaultParagraphFont"/>
    <w:rsid w:val="00C14C5D"/>
    <w:rPr>
      <w:b w:val="0"/>
      <w:bCs w:val="0"/>
      <w:color w:val="557766"/>
    </w:rPr>
  </w:style>
  <w:style w:type="paragraph" w:customStyle="1" w:styleId="Pa8">
    <w:name w:val="Pa8"/>
    <w:basedOn w:val="Normal"/>
    <w:next w:val="Normal"/>
    <w:rsid w:val="00C14C5D"/>
    <w:pPr>
      <w:keepNext w:val="0"/>
      <w:autoSpaceDE w:val="0"/>
      <w:autoSpaceDN w:val="0"/>
      <w:adjustRightInd w:val="0"/>
      <w:spacing w:line="201" w:lineRule="atLeast"/>
      <w:outlineLvl w:val="9"/>
    </w:pPr>
    <w:rPr>
      <w:rFonts w:ascii="DINOT-Regular" w:hAnsi="DINOT-Regular"/>
      <w:szCs w:val="24"/>
    </w:rPr>
  </w:style>
  <w:style w:type="paragraph" w:customStyle="1" w:styleId="CharChar3">
    <w:name w:val="Char Char3"/>
    <w:basedOn w:val="Normal"/>
    <w:rsid w:val="00C14C5D"/>
    <w:pPr>
      <w:keepNext w:val="0"/>
      <w:spacing w:after="160" w:line="240" w:lineRule="exact"/>
      <w:outlineLvl w:val="9"/>
    </w:pPr>
    <w:rPr>
      <w:rFonts w:ascii="Tahoma" w:hAnsi="Tahoma" w:cs="Tahoma"/>
      <w:sz w:val="20"/>
      <w:szCs w:val="20"/>
      <w:lang w:val="en-US" w:eastAsia="en-US"/>
    </w:rPr>
  </w:style>
  <w:style w:type="character" w:customStyle="1" w:styleId="st1">
    <w:name w:val="st1"/>
    <w:basedOn w:val="DefaultParagraphFont"/>
    <w:rsid w:val="00C14C5D"/>
  </w:style>
  <w:style w:type="paragraph" w:customStyle="1" w:styleId="Pa7">
    <w:name w:val="Pa7"/>
    <w:basedOn w:val="Normal"/>
    <w:next w:val="Normal"/>
    <w:uiPriority w:val="99"/>
    <w:rsid w:val="00C14C5D"/>
    <w:pPr>
      <w:keepNext w:val="0"/>
      <w:autoSpaceDE w:val="0"/>
      <w:autoSpaceDN w:val="0"/>
      <w:adjustRightInd w:val="0"/>
      <w:spacing w:line="241" w:lineRule="atLeast"/>
      <w:outlineLvl w:val="9"/>
    </w:pPr>
    <w:rPr>
      <w:rFonts w:cs="Arial"/>
      <w:szCs w:val="24"/>
    </w:rPr>
  </w:style>
  <w:style w:type="character" w:customStyle="1" w:styleId="A1">
    <w:name w:val="A1"/>
    <w:uiPriority w:val="99"/>
    <w:rsid w:val="00C14C5D"/>
    <w:rPr>
      <w:color w:val="000000"/>
      <w:sz w:val="16"/>
      <w:szCs w:val="16"/>
    </w:rPr>
  </w:style>
  <w:style w:type="paragraph" w:customStyle="1" w:styleId="article-title">
    <w:name w:val="article-title"/>
    <w:basedOn w:val="Normal"/>
    <w:rsid w:val="00C14C5D"/>
    <w:pPr>
      <w:keepNext w:val="0"/>
      <w:spacing w:after="270" w:line="300" w:lineRule="atLeast"/>
      <w:outlineLvl w:val="9"/>
    </w:pPr>
    <w:rPr>
      <w:rFonts w:eastAsiaTheme="minorHAnsi" w:cs="Arial"/>
      <w:b/>
      <w:bCs/>
      <w:color w:val="E97900"/>
      <w:sz w:val="27"/>
      <w:szCs w:val="27"/>
    </w:rPr>
  </w:style>
  <w:style w:type="character" w:customStyle="1" w:styleId="googqs-tidbit1">
    <w:name w:val="goog_qs-tidbit1"/>
    <w:rsid w:val="00C14C5D"/>
    <w:rPr>
      <w:vanish w:val="0"/>
      <w:webHidden w:val="0"/>
      <w:specVanish w:val="0"/>
    </w:rPr>
  </w:style>
  <w:style w:type="character" w:customStyle="1" w:styleId="biblio-authors">
    <w:name w:val="biblio-authors"/>
    <w:rsid w:val="00C14C5D"/>
  </w:style>
  <w:style w:type="paragraph" w:styleId="TOC1">
    <w:name w:val="toc 1"/>
    <w:basedOn w:val="Normal"/>
    <w:next w:val="Normal"/>
    <w:autoRedefine/>
    <w:uiPriority w:val="39"/>
    <w:unhideWhenUsed/>
    <w:qFormat/>
    <w:rsid w:val="00C14C5D"/>
    <w:pPr>
      <w:keepNext w:val="0"/>
      <w:spacing w:after="100"/>
      <w:outlineLvl w:val="9"/>
    </w:pPr>
    <w:rPr>
      <w:szCs w:val="24"/>
    </w:rPr>
  </w:style>
  <w:style w:type="paragraph" w:styleId="TOC2">
    <w:name w:val="toc 2"/>
    <w:basedOn w:val="Normal"/>
    <w:next w:val="Normal"/>
    <w:autoRedefine/>
    <w:uiPriority w:val="39"/>
    <w:unhideWhenUsed/>
    <w:qFormat/>
    <w:rsid w:val="00C14C5D"/>
    <w:pPr>
      <w:keepNext w:val="0"/>
      <w:tabs>
        <w:tab w:val="right" w:leader="underscore" w:pos="8538"/>
      </w:tabs>
      <w:spacing w:after="100"/>
      <w:outlineLvl w:val="9"/>
    </w:pPr>
    <w:rPr>
      <w:szCs w:val="24"/>
    </w:rPr>
  </w:style>
  <w:style w:type="paragraph" w:styleId="TOC3">
    <w:name w:val="toc 3"/>
    <w:basedOn w:val="Normal"/>
    <w:next w:val="Normal"/>
    <w:autoRedefine/>
    <w:uiPriority w:val="39"/>
    <w:unhideWhenUsed/>
    <w:qFormat/>
    <w:rsid w:val="00C14C5D"/>
    <w:pPr>
      <w:keepNext w:val="0"/>
      <w:spacing w:after="100"/>
      <w:ind w:left="480"/>
      <w:outlineLvl w:val="9"/>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eumvictoria.com.au/"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museumvictoria.com.au/" TargetMode="External"/><Relationship Id="rId2" Type="http://schemas.openxmlformats.org/officeDocument/2006/relationships/numbering" Target="numbering.xml"/><Relationship Id="rId16" Type="http://schemas.openxmlformats.org/officeDocument/2006/relationships/hyperlink" Target="http://www.ibac.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useumvictoria.com.au/education/learning-lab/" TargetMode="External"/><Relationship Id="rId5" Type="http://schemas.openxmlformats.org/officeDocument/2006/relationships/webSettings" Target="webSettings.xml"/><Relationship Id="rId15" Type="http://schemas.openxmlformats.org/officeDocument/2006/relationships/hyperlink" Target="mailto:foi@museum.vic.gov.au"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17851-6F7B-4CBF-A4CF-3A5C1C35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76</Pages>
  <Words>20152</Words>
  <Characters>114867</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Museum Victoria</Company>
  <LinksUpToDate>false</LinksUpToDate>
  <CharactersWithSpaces>134750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Tangey, Penny</dc:creator>
  <cp:lastModifiedBy>Scholes, Veronica</cp:lastModifiedBy>
  <cp:revision>9</cp:revision>
  <cp:lastPrinted>2014-09-22T02:09:00Z</cp:lastPrinted>
  <dcterms:created xsi:type="dcterms:W3CDTF">2014-09-15T06:27:00Z</dcterms:created>
  <dcterms:modified xsi:type="dcterms:W3CDTF">2017-05-17T06:31:00Z</dcterms:modified>
</cp:coreProperties>
</file>